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DE0F5F">
      <w:pPr>
        <w:pStyle w:val="DefaultParagraphFont"/>
        <w:widowControl w:val="0"/>
        <w:autoSpaceDE w:val="0"/>
        <w:autoSpaceDN w:val="0"/>
        <w:adjustRightInd w:val="0"/>
        <w:spacing w:after="0" w:line="240" w:lineRule="auto"/>
        <w:ind w:left="1660"/>
        <w:rPr>
          <w:rFonts w:ascii="Times New Roman" w:hAnsi="Times New Roman" w:cs="Times New Roman"/>
          <w:sz w:val="24"/>
          <w:szCs w:val="24"/>
        </w:rPr>
      </w:pPr>
      <w:bookmarkStart w:id="0" w:name="page1"/>
      <w:bookmarkEnd w:id="0"/>
      <w:r>
        <w:rPr>
          <w:rFonts w:ascii="Verdana" w:hAnsi="Verdana" w:cs="Verdana"/>
          <w:b/>
          <w:bCs/>
          <w:sz w:val="24"/>
          <w:szCs w:val="24"/>
        </w:rPr>
        <w:t>Draft Rules under Companies Act, 2013</w:t>
      </w: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22"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40" w:lineRule="auto"/>
        <w:ind w:left="2400"/>
        <w:rPr>
          <w:rFonts w:ascii="Times New Roman" w:hAnsi="Times New Roman" w:cs="Times New Roman"/>
          <w:sz w:val="24"/>
          <w:szCs w:val="24"/>
        </w:rPr>
      </w:pPr>
      <w:r>
        <w:rPr>
          <w:rFonts w:ascii="Verdana" w:hAnsi="Verdana" w:cs="Verdana"/>
          <w:b/>
          <w:bCs/>
          <w:sz w:val="24"/>
          <w:szCs w:val="24"/>
        </w:rPr>
        <w:t>Ministry of Corporate Affairs</w:t>
      </w:r>
    </w:p>
    <w:p w:rsidR="00000000" w:rsidRDefault="00DE0F5F">
      <w:pPr>
        <w:pStyle w:val="DefaultParagraphFont"/>
        <w:widowControl w:val="0"/>
        <w:autoSpaceDE w:val="0"/>
        <w:autoSpaceDN w:val="0"/>
        <w:adjustRightInd w:val="0"/>
        <w:spacing w:after="0" w:line="145"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40" w:lineRule="auto"/>
        <w:ind w:left="3300"/>
        <w:rPr>
          <w:rFonts w:ascii="Times New Roman" w:hAnsi="Times New Roman" w:cs="Times New Roman"/>
          <w:sz w:val="24"/>
          <w:szCs w:val="24"/>
        </w:rPr>
      </w:pPr>
      <w:r>
        <w:rPr>
          <w:rFonts w:ascii="Verdana" w:hAnsi="Verdana" w:cs="Verdana"/>
          <w:b/>
          <w:bCs/>
          <w:sz w:val="24"/>
          <w:szCs w:val="24"/>
        </w:rPr>
        <w:t>NOTIFICATION</w:t>
      </w:r>
    </w:p>
    <w:p w:rsidR="00000000" w:rsidRDefault="00DE0F5F">
      <w:pPr>
        <w:pStyle w:val="DefaultParagraphFont"/>
        <w:widowControl w:val="0"/>
        <w:autoSpaceDE w:val="0"/>
        <w:autoSpaceDN w:val="0"/>
        <w:adjustRightInd w:val="0"/>
        <w:spacing w:after="0" w:line="145"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40" w:lineRule="auto"/>
        <w:ind w:left="2180"/>
        <w:rPr>
          <w:rFonts w:ascii="Times New Roman" w:hAnsi="Times New Roman" w:cs="Times New Roman"/>
          <w:sz w:val="24"/>
          <w:szCs w:val="24"/>
        </w:rPr>
      </w:pPr>
      <w:r>
        <w:rPr>
          <w:rFonts w:ascii="Verdana" w:hAnsi="Verdana" w:cs="Verdana"/>
          <w:b/>
          <w:bCs/>
          <w:sz w:val="24"/>
          <w:szCs w:val="24"/>
        </w:rPr>
        <w:t>New Delhi, the ________ 2013</w:t>
      </w: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 w:name="_GoBack"/>
      <w:bookmarkEnd w:id="1"/>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G.S.R -- In exercise of the powers conferred by sub-sections (1) and</w:t>
      </w:r>
    </w:p>
    <w:p w:rsidR="00000000" w:rsidRDefault="00DE0F5F">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DE0F5F">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r>
        <w:rPr>
          <w:rFonts w:ascii="Verdana" w:hAnsi="Verdana" w:cs="Verdana"/>
          <w:sz w:val="24"/>
          <w:szCs w:val="24"/>
        </w:rPr>
        <w:t>(2) of section 469 of the Companies Act, 2013 (18 of 2013), the Central Government hereby makes the following rules, namely: -</w:t>
      </w: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99"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40" w:lineRule="auto"/>
        <w:ind w:left="3400"/>
        <w:rPr>
          <w:rFonts w:ascii="Times New Roman" w:hAnsi="Times New Roman" w:cs="Times New Roman"/>
          <w:sz w:val="24"/>
          <w:szCs w:val="24"/>
        </w:rPr>
      </w:pPr>
      <w:r>
        <w:rPr>
          <w:rFonts w:ascii="Verdana" w:hAnsi="Verdana" w:cs="Verdana"/>
          <w:b/>
          <w:bCs/>
          <w:sz w:val="24"/>
          <w:szCs w:val="24"/>
          <w:u w:val="single"/>
        </w:rPr>
        <w:t>PRELIMINARY</w:t>
      </w: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382"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Short title and commencement.</w:t>
      </w: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384" w:lineRule="exact"/>
        <w:rPr>
          <w:rFonts w:ascii="Times New Roman" w:hAnsi="Times New Roman" w:cs="Times New Roman"/>
          <w:sz w:val="24"/>
          <w:szCs w:val="24"/>
        </w:rPr>
      </w:pPr>
    </w:p>
    <w:p w:rsidR="00000000" w:rsidRDefault="00DE0F5F">
      <w:pPr>
        <w:pStyle w:val="DefaultParagraphFont"/>
        <w:widowControl w:val="0"/>
        <w:numPr>
          <w:ilvl w:val="0"/>
          <w:numId w:val="1"/>
        </w:numPr>
        <w:tabs>
          <w:tab w:val="clear" w:pos="720"/>
          <w:tab w:val="num" w:pos="640"/>
        </w:tabs>
        <w:overflowPunct w:val="0"/>
        <w:autoSpaceDE w:val="0"/>
        <w:autoSpaceDN w:val="0"/>
        <w:adjustRightInd w:val="0"/>
        <w:spacing w:after="0" w:line="240" w:lineRule="auto"/>
        <w:ind w:left="640" w:hanging="640"/>
        <w:jc w:val="both"/>
        <w:rPr>
          <w:rFonts w:ascii="Verdana" w:hAnsi="Verdana" w:cs="Verdana"/>
          <w:sz w:val="24"/>
          <w:szCs w:val="24"/>
        </w:rPr>
      </w:pPr>
      <w:r>
        <w:rPr>
          <w:rFonts w:ascii="Verdana" w:hAnsi="Verdana" w:cs="Verdana"/>
          <w:sz w:val="24"/>
          <w:szCs w:val="24"/>
        </w:rPr>
        <w:t xml:space="preserve">(1)  These rules may be called the Companies Rules, 2013. </w:t>
      </w: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240" w:lineRule="exact"/>
        <w:rPr>
          <w:rFonts w:ascii="Verdana" w:hAnsi="Verdana" w:cs="Verdana"/>
          <w:sz w:val="24"/>
          <w:szCs w:val="24"/>
        </w:rPr>
      </w:pPr>
    </w:p>
    <w:p w:rsidR="00000000" w:rsidRDefault="00DE0F5F">
      <w:pPr>
        <w:pStyle w:val="DefaultParagraphFont"/>
        <w:widowControl w:val="0"/>
        <w:numPr>
          <w:ilvl w:val="1"/>
          <w:numId w:val="1"/>
        </w:numPr>
        <w:tabs>
          <w:tab w:val="clear" w:pos="1440"/>
          <w:tab w:val="num" w:pos="1180"/>
        </w:tabs>
        <w:overflowPunct w:val="0"/>
        <w:autoSpaceDE w:val="0"/>
        <w:autoSpaceDN w:val="0"/>
        <w:adjustRightInd w:val="0"/>
        <w:spacing w:after="0" w:line="348" w:lineRule="auto"/>
        <w:ind w:left="720" w:firstLine="0"/>
        <w:jc w:val="both"/>
        <w:rPr>
          <w:rFonts w:ascii="Verdana" w:hAnsi="Verdana" w:cs="Verdana"/>
          <w:sz w:val="24"/>
          <w:szCs w:val="24"/>
        </w:rPr>
      </w:pPr>
      <w:r>
        <w:rPr>
          <w:rFonts w:ascii="Verdana" w:hAnsi="Verdana" w:cs="Verdana"/>
          <w:sz w:val="24"/>
          <w:szCs w:val="24"/>
        </w:rPr>
        <w:t>These rules shall come into force on such date as the Central Government may, by notification in the Official Gazette, appoint and different dates may be appointed for different rules and any reference in any rule to the commencement of these rules shall b</w:t>
      </w:r>
      <w:r>
        <w:rPr>
          <w:rFonts w:ascii="Verdana" w:hAnsi="Verdana" w:cs="Verdana"/>
          <w:sz w:val="24"/>
          <w:szCs w:val="24"/>
        </w:rPr>
        <w:t xml:space="preserve">e construed as a reference to the coming into force of that rule. </w:t>
      </w: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310" w:lineRule="exact"/>
        <w:rPr>
          <w:rFonts w:ascii="Verdana" w:hAnsi="Verdana" w:cs="Verdana"/>
          <w:sz w:val="24"/>
          <w:szCs w:val="24"/>
        </w:rPr>
      </w:pPr>
    </w:p>
    <w:p w:rsidR="00000000" w:rsidRDefault="00DE0F5F">
      <w:pPr>
        <w:pStyle w:val="DefaultParagraphFont"/>
        <w:widowControl w:val="0"/>
        <w:numPr>
          <w:ilvl w:val="1"/>
          <w:numId w:val="1"/>
        </w:numPr>
        <w:tabs>
          <w:tab w:val="clear" w:pos="1440"/>
          <w:tab w:val="num" w:pos="1185"/>
        </w:tabs>
        <w:overflowPunct w:val="0"/>
        <w:autoSpaceDE w:val="0"/>
        <w:autoSpaceDN w:val="0"/>
        <w:adjustRightInd w:val="0"/>
        <w:spacing w:after="0" w:line="344" w:lineRule="auto"/>
        <w:ind w:left="720" w:firstLine="0"/>
        <w:jc w:val="both"/>
        <w:rPr>
          <w:rFonts w:ascii="Verdana" w:hAnsi="Verdana" w:cs="Verdana"/>
          <w:sz w:val="24"/>
          <w:szCs w:val="24"/>
        </w:rPr>
      </w:pPr>
      <w:r>
        <w:rPr>
          <w:rFonts w:ascii="Verdana" w:hAnsi="Verdana" w:cs="Verdana"/>
          <w:sz w:val="24"/>
          <w:szCs w:val="24"/>
        </w:rPr>
        <w:t>The provisions of rules made under Chapter XXVII of the Act shall also be applicable on matters where approval of Tribunal is required to be obtained under any other rules made under</w:t>
      </w:r>
      <w:r>
        <w:rPr>
          <w:rFonts w:ascii="Verdana" w:hAnsi="Verdana" w:cs="Verdana"/>
          <w:sz w:val="24"/>
          <w:szCs w:val="24"/>
        </w:rPr>
        <w:t xml:space="preserve"> this Act. </w:t>
      </w: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332"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Definitions.</w:t>
      </w:r>
    </w:p>
    <w:p w:rsidR="00000000" w:rsidRDefault="00DE0F5F">
      <w:pP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896" w:right="1800" w:bottom="452" w:left="1800" w:header="720" w:footer="720" w:gutter="0"/>
          <w:cols w:space="720" w:equalWidth="0">
            <w:col w:w="8640"/>
          </w:cols>
          <w:noEndnote/>
        </w:sectPr>
      </w:pPr>
    </w:p>
    <w:p w:rsidR="00000000" w:rsidRDefault="00DE0F5F">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w:t>
      </w:r>
    </w:p>
    <w:p w:rsidR="00000000" w:rsidRDefault="00DE0F5F">
      <w:pP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896" w:right="1800" w:bottom="452" w:left="10320" w:header="720" w:footer="720" w:gutter="0"/>
          <w:cols w:space="720" w:equalWidth="0">
            <w:col w:w="120"/>
          </w:cols>
          <w:noEndnote/>
        </w:sectPr>
      </w:pPr>
    </w:p>
    <w:p w:rsidR="00000000" w:rsidRDefault="00DE0F5F">
      <w:pPr>
        <w:pStyle w:val="DefaultParagraphFont"/>
        <w:widowControl w:val="0"/>
        <w:numPr>
          <w:ilvl w:val="0"/>
          <w:numId w:val="2"/>
        </w:numPr>
        <w:tabs>
          <w:tab w:val="clear" w:pos="720"/>
          <w:tab w:val="num" w:pos="560"/>
        </w:tabs>
        <w:overflowPunct w:val="0"/>
        <w:autoSpaceDE w:val="0"/>
        <w:autoSpaceDN w:val="0"/>
        <w:adjustRightInd w:val="0"/>
        <w:spacing w:after="0" w:line="240" w:lineRule="auto"/>
        <w:ind w:left="560" w:hanging="560"/>
        <w:jc w:val="both"/>
        <w:rPr>
          <w:rFonts w:ascii="Verdana" w:hAnsi="Verdana" w:cs="Verdana"/>
          <w:sz w:val="24"/>
          <w:szCs w:val="24"/>
        </w:rPr>
      </w:pPr>
      <w:bookmarkStart w:id="2" w:name="page2"/>
      <w:bookmarkEnd w:id="2"/>
      <w:r>
        <w:rPr>
          <w:rFonts w:ascii="Verdana" w:hAnsi="Verdana" w:cs="Verdana"/>
          <w:sz w:val="24"/>
          <w:szCs w:val="24"/>
        </w:rPr>
        <w:lastRenderedPageBreak/>
        <w:t xml:space="preserve">(1) In these rules, unless the context otherwise requires, </w:t>
      </w: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384" w:lineRule="exact"/>
        <w:rPr>
          <w:rFonts w:ascii="Verdana" w:hAnsi="Verdana" w:cs="Verdana"/>
          <w:sz w:val="24"/>
          <w:szCs w:val="24"/>
        </w:rPr>
      </w:pPr>
    </w:p>
    <w:p w:rsidR="00000000" w:rsidRDefault="00DE0F5F">
      <w:pPr>
        <w:pStyle w:val="DefaultParagraphFont"/>
        <w:widowControl w:val="0"/>
        <w:numPr>
          <w:ilvl w:val="1"/>
          <w:numId w:val="2"/>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 xml:space="preserve">“Act” means the Companies Act, 2013 (… of 2013); </w:t>
      </w: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381" w:lineRule="exact"/>
        <w:rPr>
          <w:rFonts w:ascii="Verdana" w:hAnsi="Verdana" w:cs="Verdana"/>
          <w:sz w:val="24"/>
          <w:szCs w:val="24"/>
        </w:rPr>
      </w:pPr>
    </w:p>
    <w:p w:rsidR="00000000" w:rsidRDefault="00DE0F5F">
      <w:pPr>
        <w:pStyle w:val="DefaultParagraphFont"/>
        <w:widowControl w:val="0"/>
        <w:numPr>
          <w:ilvl w:val="1"/>
          <w:numId w:val="2"/>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“Annexure”</w:t>
      </w:r>
      <w:r>
        <w:rPr>
          <w:rFonts w:ascii="Verdana" w:hAnsi="Verdana" w:cs="Verdana"/>
          <w:sz w:val="24"/>
          <w:szCs w:val="24"/>
        </w:rPr>
        <w:t xml:space="preserve"> means Annexure to these rules; </w:t>
      </w: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242" w:lineRule="exact"/>
        <w:rPr>
          <w:rFonts w:ascii="Verdana" w:hAnsi="Verdana" w:cs="Verdana"/>
          <w:sz w:val="24"/>
          <w:szCs w:val="24"/>
        </w:rPr>
      </w:pPr>
    </w:p>
    <w:p w:rsidR="00000000" w:rsidRDefault="00DE0F5F">
      <w:pPr>
        <w:pStyle w:val="DefaultParagraphFont"/>
        <w:widowControl w:val="0"/>
        <w:numPr>
          <w:ilvl w:val="1"/>
          <w:numId w:val="2"/>
        </w:numPr>
        <w:overflowPunct w:val="0"/>
        <w:autoSpaceDE w:val="0"/>
        <w:autoSpaceDN w:val="0"/>
        <w:adjustRightInd w:val="0"/>
        <w:spacing w:after="0" w:line="347" w:lineRule="auto"/>
        <w:ind w:hanging="720"/>
        <w:jc w:val="both"/>
        <w:rPr>
          <w:rFonts w:ascii="Verdana" w:hAnsi="Verdana" w:cs="Verdana"/>
          <w:sz w:val="24"/>
          <w:szCs w:val="24"/>
        </w:rPr>
      </w:pPr>
      <w:r>
        <w:rPr>
          <w:rFonts w:ascii="Verdana" w:hAnsi="Verdana" w:cs="Verdana"/>
          <w:sz w:val="24"/>
          <w:szCs w:val="24"/>
        </w:rPr>
        <w:t>“Certifying Authority” for the purpose of ‘Digital Signature Certificate’</w:t>
      </w:r>
      <w:r>
        <w:rPr>
          <w:rFonts w:ascii="Verdana" w:hAnsi="Verdana" w:cs="Verdana"/>
          <w:sz w:val="24"/>
          <w:szCs w:val="24"/>
        </w:rPr>
        <w:t xml:space="preserve"> means a person who has been granted a licence to issue a Digital Signature Certificate under section 24 of the Information Technology Act, 2000 (21 of 2000) as amended from time to time; </w:t>
      </w: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317" w:lineRule="exact"/>
        <w:rPr>
          <w:rFonts w:ascii="Verdana" w:hAnsi="Verdana" w:cs="Verdana"/>
          <w:sz w:val="24"/>
          <w:szCs w:val="24"/>
        </w:rPr>
      </w:pPr>
    </w:p>
    <w:p w:rsidR="00000000" w:rsidRDefault="00DE0F5F">
      <w:pPr>
        <w:pStyle w:val="DefaultParagraphFont"/>
        <w:widowControl w:val="0"/>
        <w:numPr>
          <w:ilvl w:val="1"/>
          <w:numId w:val="2"/>
        </w:numPr>
        <w:overflowPunct w:val="0"/>
        <w:autoSpaceDE w:val="0"/>
        <w:autoSpaceDN w:val="0"/>
        <w:adjustRightInd w:val="0"/>
        <w:spacing w:after="0" w:line="335" w:lineRule="auto"/>
        <w:ind w:hanging="720"/>
        <w:jc w:val="both"/>
        <w:rPr>
          <w:rFonts w:ascii="Verdana" w:hAnsi="Verdana" w:cs="Verdana"/>
          <w:sz w:val="24"/>
          <w:szCs w:val="24"/>
        </w:rPr>
      </w:pPr>
      <w:r>
        <w:rPr>
          <w:rFonts w:ascii="Verdana" w:hAnsi="Verdana" w:cs="Verdana"/>
          <w:sz w:val="24"/>
          <w:szCs w:val="24"/>
        </w:rPr>
        <w:t>“Director Identification Number” (DIN) means an identificati</w:t>
      </w:r>
      <w:r>
        <w:rPr>
          <w:rFonts w:ascii="Verdana" w:hAnsi="Verdana" w:cs="Verdana"/>
          <w:sz w:val="24"/>
          <w:szCs w:val="24"/>
        </w:rPr>
        <w:t xml:space="preserve">on number allotted by the Central Government to any individual, in accordance with section 154 of the </w:t>
      </w:r>
    </w:p>
    <w:p w:rsidR="00000000" w:rsidRDefault="00DE0F5F">
      <w:pPr>
        <w:pStyle w:val="DefaultParagraphFont"/>
        <w:widowControl w:val="0"/>
        <w:autoSpaceDE w:val="0"/>
        <w:autoSpaceDN w:val="0"/>
        <w:adjustRightInd w:val="0"/>
        <w:spacing w:after="0" w:line="91" w:lineRule="exact"/>
        <w:rPr>
          <w:rFonts w:ascii="Times New Roman" w:hAnsi="Times New Roman" w:cs="Times New Roman"/>
          <w:sz w:val="24"/>
          <w:szCs w:val="24"/>
        </w:rPr>
      </w:pPr>
    </w:p>
    <w:p w:rsidR="00000000" w:rsidRDefault="00DE0F5F">
      <w:pPr>
        <w:pStyle w:val="DefaultParagraphFont"/>
        <w:widowControl w:val="0"/>
        <w:overflowPunct w:val="0"/>
        <w:autoSpaceDE w:val="0"/>
        <w:autoSpaceDN w:val="0"/>
        <w:adjustRightInd w:val="0"/>
        <w:spacing w:after="0" w:line="335" w:lineRule="auto"/>
        <w:ind w:left="1440"/>
        <w:jc w:val="both"/>
        <w:rPr>
          <w:rFonts w:ascii="Times New Roman" w:hAnsi="Times New Roman" w:cs="Times New Roman"/>
          <w:sz w:val="24"/>
          <w:szCs w:val="24"/>
        </w:rPr>
      </w:pPr>
      <w:r>
        <w:rPr>
          <w:rFonts w:ascii="Verdana" w:hAnsi="Verdana" w:cs="Verdana"/>
          <w:sz w:val="24"/>
          <w:szCs w:val="24"/>
        </w:rPr>
        <w:t>Act, intending to be appointed as director or to any existing director of a company, for the purpose of his identification as such;</w:t>
      </w:r>
    </w:p>
    <w:p w:rsidR="00000000" w:rsidRDefault="00DE0F5F">
      <w:pPr>
        <w:pStyle w:val="DefaultParagraphFont"/>
        <w:widowControl w:val="0"/>
        <w:autoSpaceDE w:val="0"/>
        <w:autoSpaceDN w:val="0"/>
        <w:adjustRightInd w:val="0"/>
        <w:spacing w:after="0" w:line="92" w:lineRule="exact"/>
        <w:rPr>
          <w:rFonts w:ascii="Times New Roman" w:hAnsi="Times New Roman" w:cs="Times New Roman"/>
          <w:sz w:val="24"/>
          <w:szCs w:val="24"/>
        </w:rPr>
      </w:pPr>
    </w:p>
    <w:p w:rsidR="00000000" w:rsidRDefault="00DE0F5F">
      <w:pPr>
        <w:pStyle w:val="DefaultParagraphFont"/>
        <w:widowControl w:val="0"/>
        <w:overflowPunct w:val="0"/>
        <w:autoSpaceDE w:val="0"/>
        <w:autoSpaceDN w:val="0"/>
        <w:adjustRightInd w:val="0"/>
        <w:spacing w:after="0" w:line="344" w:lineRule="auto"/>
        <w:ind w:left="1340" w:right="480"/>
        <w:rPr>
          <w:rFonts w:ascii="Times New Roman" w:hAnsi="Times New Roman" w:cs="Times New Roman"/>
          <w:sz w:val="24"/>
          <w:szCs w:val="24"/>
        </w:rPr>
      </w:pPr>
      <w:r>
        <w:rPr>
          <w:rFonts w:ascii="Verdana" w:hAnsi="Verdana" w:cs="Verdana"/>
          <w:sz w:val="24"/>
          <w:szCs w:val="24"/>
        </w:rPr>
        <w:t>Provided that the Director Identification Number(DIN) obtained by individuals prior to the notification of these rules shall be the DIN for The purpose of the Companies Act, 2013.</w:t>
      </w:r>
    </w:p>
    <w:p w:rsidR="00000000" w:rsidRDefault="00DE0F5F">
      <w:pPr>
        <w:pStyle w:val="DefaultParagraphFont"/>
        <w:widowControl w:val="0"/>
        <w:autoSpaceDE w:val="0"/>
        <w:autoSpaceDN w:val="0"/>
        <w:adjustRightInd w:val="0"/>
        <w:spacing w:after="0" w:line="77" w:lineRule="exact"/>
        <w:rPr>
          <w:rFonts w:ascii="Times New Roman" w:hAnsi="Times New Roman" w:cs="Times New Roman"/>
          <w:sz w:val="24"/>
          <w:szCs w:val="24"/>
        </w:rPr>
      </w:pPr>
    </w:p>
    <w:p w:rsidR="00000000" w:rsidRDefault="00DE0F5F">
      <w:pPr>
        <w:pStyle w:val="DefaultParagraphFont"/>
        <w:widowControl w:val="0"/>
        <w:numPr>
          <w:ilvl w:val="0"/>
          <w:numId w:val="3"/>
        </w:numPr>
        <w:tabs>
          <w:tab w:val="clear" w:pos="720"/>
          <w:tab w:val="num" w:pos="1440"/>
        </w:tabs>
        <w:overflowPunct w:val="0"/>
        <w:autoSpaceDE w:val="0"/>
        <w:autoSpaceDN w:val="0"/>
        <w:adjustRightInd w:val="0"/>
        <w:spacing w:after="0" w:line="335" w:lineRule="auto"/>
        <w:ind w:left="1440" w:hanging="720"/>
        <w:jc w:val="both"/>
        <w:rPr>
          <w:rFonts w:ascii="Verdana" w:hAnsi="Verdana" w:cs="Verdana"/>
          <w:sz w:val="24"/>
          <w:szCs w:val="24"/>
        </w:rPr>
      </w:pPr>
      <w:r>
        <w:rPr>
          <w:rFonts w:ascii="Verdana" w:hAnsi="Verdana" w:cs="Verdana"/>
          <w:sz w:val="24"/>
          <w:szCs w:val="24"/>
        </w:rPr>
        <w:t>“Digital Signature” means digital signature as defined under clause (p</w:t>
      </w:r>
      <w:r>
        <w:rPr>
          <w:rFonts w:ascii="Verdana" w:hAnsi="Verdana" w:cs="Verdana"/>
          <w:sz w:val="24"/>
          <w:szCs w:val="24"/>
        </w:rPr>
        <w:t xml:space="preserve">) of sub-section (1) of section 2 of the Information Technology Act, 2000; </w:t>
      </w:r>
    </w:p>
    <w:p w:rsidR="00000000" w:rsidRDefault="00DE0F5F">
      <w:pPr>
        <w:pStyle w:val="DefaultParagraphFont"/>
        <w:widowControl w:val="0"/>
        <w:autoSpaceDE w:val="0"/>
        <w:autoSpaceDN w:val="0"/>
        <w:adjustRightInd w:val="0"/>
        <w:spacing w:after="0" w:line="45" w:lineRule="exact"/>
        <w:rPr>
          <w:rFonts w:ascii="Verdana" w:hAnsi="Verdana" w:cs="Verdana"/>
          <w:sz w:val="24"/>
          <w:szCs w:val="24"/>
        </w:rPr>
      </w:pPr>
    </w:p>
    <w:p w:rsidR="00000000" w:rsidRDefault="00DE0F5F">
      <w:pPr>
        <w:pStyle w:val="DefaultParagraphFont"/>
        <w:widowControl w:val="0"/>
        <w:numPr>
          <w:ilvl w:val="0"/>
          <w:numId w:val="3"/>
        </w:numPr>
        <w:tabs>
          <w:tab w:val="clear" w:pos="720"/>
          <w:tab w:val="num" w:pos="1440"/>
        </w:tabs>
        <w:overflowPunct w:val="0"/>
        <w:autoSpaceDE w:val="0"/>
        <w:autoSpaceDN w:val="0"/>
        <w:adjustRightInd w:val="0"/>
        <w:spacing w:after="0" w:line="240" w:lineRule="auto"/>
        <w:ind w:left="1440" w:hanging="720"/>
        <w:jc w:val="both"/>
        <w:rPr>
          <w:rFonts w:ascii="Verdana" w:hAnsi="Verdana" w:cs="Verdana"/>
          <w:sz w:val="23"/>
          <w:szCs w:val="23"/>
        </w:rPr>
      </w:pPr>
      <w:r>
        <w:rPr>
          <w:rFonts w:ascii="Verdana" w:hAnsi="Verdana" w:cs="Verdana"/>
          <w:sz w:val="23"/>
          <w:szCs w:val="23"/>
        </w:rPr>
        <w:t xml:space="preserve">“Digital  Signature  Certificate”  means  a  Digital  Signature </w:t>
      </w:r>
    </w:p>
    <w:p w:rsidR="00000000" w:rsidRDefault="00DE0F5F">
      <w:pPr>
        <w:pStyle w:val="DefaultParagraphFont"/>
        <w:widowControl w:val="0"/>
        <w:autoSpaceDE w:val="0"/>
        <w:autoSpaceDN w:val="0"/>
        <w:adjustRightInd w:val="0"/>
        <w:spacing w:after="0" w:line="203" w:lineRule="exact"/>
        <w:rPr>
          <w:rFonts w:ascii="Verdana" w:hAnsi="Verdana" w:cs="Verdana"/>
          <w:sz w:val="23"/>
          <w:szCs w:val="23"/>
        </w:rPr>
      </w:pPr>
    </w:p>
    <w:p w:rsidR="00000000" w:rsidRDefault="00DE0F5F">
      <w:pPr>
        <w:pStyle w:val="DefaultParagraphFont"/>
        <w:widowControl w:val="0"/>
        <w:overflowPunct w:val="0"/>
        <w:autoSpaceDE w:val="0"/>
        <w:autoSpaceDN w:val="0"/>
        <w:adjustRightInd w:val="0"/>
        <w:spacing w:after="0" w:line="311" w:lineRule="auto"/>
        <w:ind w:left="1440"/>
        <w:jc w:val="both"/>
        <w:rPr>
          <w:rFonts w:ascii="Verdana" w:hAnsi="Verdana" w:cs="Verdana"/>
          <w:sz w:val="23"/>
          <w:szCs w:val="23"/>
        </w:rPr>
      </w:pPr>
      <w:r>
        <w:rPr>
          <w:rFonts w:ascii="Verdana" w:hAnsi="Verdana" w:cs="Verdana"/>
          <w:sz w:val="24"/>
          <w:szCs w:val="24"/>
        </w:rPr>
        <w:t xml:space="preserve">Certificate as defined under clause (q) of sub-section (1) of section 2 of the Information Technology Act, </w:t>
      </w:r>
      <w:r>
        <w:rPr>
          <w:rFonts w:ascii="Verdana" w:hAnsi="Verdana" w:cs="Verdana"/>
          <w:sz w:val="24"/>
          <w:szCs w:val="24"/>
        </w:rPr>
        <w:t xml:space="preserve">2000; </w:t>
      </w:r>
    </w:p>
    <w:p w:rsidR="00000000" w:rsidRDefault="00DE0F5F">
      <w:pPr>
        <w:pStyle w:val="DefaultParagraphFont"/>
        <w:widowControl w:val="0"/>
        <w:autoSpaceDE w:val="0"/>
        <w:autoSpaceDN w:val="0"/>
        <w:adjustRightInd w:val="0"/>
        <w:spacing w:after="0" w:line="120" w:lineRule="exact"/>
        <w:rPr>
          <w:rFonts w:ascii="Verdana" w:hAnsi="Verdana" w:cs="Verdana"/>
          <w:sz w:val="23"/>
          <w:szCs w:val="23"/>
        </w:rPr>
      </w:pPr>
    </w:p>
    <w:p w:rsidR="00000000" w:rsidRDefault="00DE0F5F">
      <w:pPr>
        <w:pStyle w:val="DefaultParagraphFont"/>
        <w:widowControl w:val="0"/>
        <w:numPr>
          <w:ilvl w:val="0"/>
          <w:numId w:val="3"/>
        </w:numPr>
        <w:tabs>
          <w:tab w:val="clear" w:pos="720"/>
          <w:tab w:val="num" w:pos="1440"/>
        </w:tabs>
        <w:overflowPunct w:val="0"/>
        <w:autoSpaceDE w:val="0"/>
        <w:autoSpaceDN w:val="0"/>
        <w:adjustRightInd w:val="0"/>
        <w:spacing w:after="0" w:line="335" w:lineRule="auto"/>
        <w:ind w:left="1440" w:hanging="720"/>
        <w:jc w:val="both"/>
        <w:rPr>
          <w:rFonts w:ascii="Verdana" w:hAnsi="Verdana" w:cs="Verdana"/>
          <w:sz w:val="24"/>
          <w:szCs w:val="24"/>
        </w:rPr>
      </w:pPr>
      <w:r>
        <w:rPr>
          <w:rFonts w:ascii="Verdana" w:hAnsi="Verdana" w:cs="Verdana"/>
          <w:sz w:val="24"/>
          <w:szCs w:val="24"/>
        </w:rPr>
        <w:t xml:space="preserve">“e-Form” means a form in the electronic form as prescribed under the Act or rules made there under and notified by the Central Government under the Act; </w:t>
      </w:r>
    </w:p>
    <w:p w:rsidR="00000000" w:rsidRDefault="00DE0F5F">
      <w:pPr>
        <w:pStyle w:val="DefaultParagraphFont"/>
        <w:widowControl w:val="0"/>
        <w:overflowPunct w:val="0"/>
        <w:autoSpaceDE w:val="0"/>
        <w:autoSpaceDN w:val="0"/>
        <w:adjustRightInd w:val="0"/>
        <w:spacing w:after="0" w:line="212" w:lineRule="auto"/>
        <w:jc w:val="right"/>
        <w:rPr>
          <w:rFonts w:ascii="Times New Roman" w:hAnsi="Times New Roman" w:cs="Times New Roman"/>
          <w:sz w:val="24"/>
          <w:szCs w:val="24"/>
        </w:rPr>
      </w:pPr>
      <w:r>
        <w:rPr>
          <w:rFonts w:ascii="Times New Roman" w:hAnsi="Times New Roman" w:cs="Times New Roman"/>
          <w:sz w:val="24"/>
          <w:szCs w:val="24"/>
        </w:rPr>
        <w:t>2</w:t>
      </w:r>
    </w:p>
    <w:p w:rsidR="00000000" w:rsidRDefault="00DE0F5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33" w:right="1800" w:bottom="453" w:left="1800" w:header="720" w:footer="720" w:gutter="0"/>
          <w:cols w:space="720" w:equalWidth="0">
            <w:col w:w="8640"/>
          </w:cols>
          <w:noEndnote/>
        </w:sectPr>
      </w:pPr>
    </w:p>
    <w:p w:rsidR="00000000" w:rsidRDefault="00DE0F5F">
      <w:pPr>
        <w:pStyle w:val="DefaultParagraphFont"/>
        <w:widowControl w:val="0"/>
        <w:numPr>
          <w:ilvl w:val="0"/>
          <w:numId w:val="4"/>
        </w:numPr>
        <w:overflowPunct w:val="0"/>
        <w:autoSpaceDE w:val="0"/>
        <w:autoSpaceDN w:val="0"/>
        <w:adjustRightInd w:val="0"/>
        <w:spacing w:after="0" w:line="336" w:lineRule="auto"/>
        <w:ind w:hanging="720"/>
        <w:jc w:val="both"/>
        <w:rPr>
          <w:rFonts w:ascii="Verdana" w:hAnsi="Verdana" w:cs="Verdana"/>
          <w:sz w:val="24"/>
          <w:szCs w:val="24"/>
        </w:rPr>
      </w:pPr>
      <w:bookmarkStart w:id="3" w:name="page3"/>
      <w:bookmarkEnd w:id="3"/>
      <w:r>
        <w:rPr>
          <w:rFonts w:ascii="Verdana" w:hAnsi="Verdana" w:cs="Verdana"/>
          <w:sz w:val="24"/>
          <w:szCs w:val="24"/>
        </w:rPr>
        <w:lastRenderedPageBreak/>
        <w:t>“Electronic Record”</w:t>
      </w:r>
      <w:r>
        <w:rPr>
          <w:rFonts w:ascii="Verdana" w:hAnsi="Verdana" w:cs="Verdana"/>
          <w:sz w:val="24"/>
          <w:szCs w:val="24"/>
        </w:rPr>
        <w:t xml:space="preserve"> means electronic record as defined under clause (t) of sub-section (1) of section 2 of the Information Technology Act, 2000; </w:t>
      </w: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324" w:lineRule="exact"/>
        <w:rPr>
          <w:rFonts w:ascii="Verdana" w:hAnsi="Verdana" w:cs="Verdana"/>
          <w:sz w:val="24"/>
          <w:szCs w:val="24"/>
        </w:rPr>
      </w:pPr>
    </w:p>
    <w:p w:rsidR="00000000" w:rsidRDefault="00DE0F5F">
      <w:pPr>
        <w:pStyle w:val="DefaultParagraphFont"/>
        <w:widowControl w:val="0"/>
        <w:numPr>
          <w:ilvl w:val="0"/>
          <w:numId w:val="4"/>
        </w:numPr>
        <w:overflowPunct w:val="0"/>
        <w:autoSpaceDE w:val="0"/>
        <w:autoSpaceDN w:val="0"/>
        <w:adjustRightInd w:val="0"/>
        <w:spacing w:after="0" w:line="344" w:lineRule="auto"/>
        <w:ind w:hanging="720"/>
        <w:jc w:val="both"/>
        <w:rPr>
          <w:rFonts w:ascii="Verdana" w:hAnsi="Verdana" w:cs="Verdana"/>
          <w:sz w:val="24"/>
          <w:szCs w:val="24"/>
        </w:rPr>
      </w:pPr>
      <w:r>
        <w:rPr>
          <w:rFonts w:ascii="Verdana" w:hAnsi="Verdana" w:cs="Verdana"/>
          <w:sz w:val="24"/>
          <w:szCs w:val="24"/>
        </w:rPr>
        <w:t xml:space="preserve">“Electronic Registry” means an electronic repository or storage system of the Central Government in which the information </w:t>
      </w:r>
      <w:r>
        <w:rPr>
          <w:rFonts w:ascii="Verdana" w:hAnsi="Verdana" w:cs="Verdana"/>
          <w:sz w:val="24"/>
          <w:szCs w:val="24"/>
        </w:rPr>
        <w:t xml:space="preserve">or documents are received, stored, protected and preserved in electronic form; </w:t>
      </w:r>
    </w:p>
    <w:p w:rsidR="00000000" w:rsidRDefault="00DE0F5F">
      <w:pPr>
        <w:pStyle w:val="DefaultParagraphFont"/>
        <w:widowControl w:val="0"/>
        <w:autoSpaceDE w:val="0"/>
        <w:autoSpaceDN w:val="0"/>
        <w:adjustRightInd w:val="0"/>
        <w:spacing w:after="0" w:line="370" w:lineRule="exact"/>
        <w:rPr>
          <w:rFonts w:ascii="Verdana" w:hAnsi="Verdana" w:cs="Verdana"/>
          <w:sz w:val="24"/>
          <w:szCs w:val="24"/>
        </w:rPr>
      </w:pPr>
    </w:p>
    <w:p w:rsidR="00000000" w:rsidRDefault="00DE0F5F">
      <w:pPr>
        <w:pStyle w:val="DefaultParagraphFont"/>
        <w:widowControl w:val="0"/>
        <w:numPr>
          <w:ilvl w:val="0"/>
          <w:numId w:val="4"/>
        </w:numPr>
        <w:overflowPunct w:val="0"/>
        <w:autoSpaceDE w:val="0"/>
        <w:autoSpaceDN w:val="0"/>
        <w:adjustRightInd w:val="0"/>
        <w:spacing w:after="0" w:line="344" w:lineRule="auto"/>
        <w:ind w:hanging="720"/>
        <w:jc w:val="both"/>
        <w:rPr>
          <w:rFonts w:ascii="Verdana" w:hAnsi="Verdana" w:cs="Verdana"/>
          <w:sz w:val="24"/>
          <w:szCs w:val="24"/>
        </w:rPr>
      </w:pPr>
      <w:r>
        <w:rPr>
          <w:rFonts w:ascii="Verdana" w:hAnsi="Verdana" w:cs="Verdana"/>
          <w:sz w:val="24"/>
          <w:szCs w:val="24"/>
        </w:rPr>
        <w:t xml:space="preserve">“Electronic Mail (e-mail)” means message sent, received or forwarded in digital form using any electronic communication mechanism such that the message so sent, received </w:t>
      </w:r>
      <w:r>
        <w:rPr>
          <w:rFonts w:ascii="Verdana" w:hAnsi="Verdana" w:cs="Verdana"/>
          <w:sz w:val="24"/>
          <w:szCs w:val="24"/>
        </w:rPr>
        <w:t xml:space="preserve">or forwarded is storable and retrievable ; </w:t>
      </w:r>
    </w:p>
    <w:p w:rsidR="00000000" w:rsidRDefault="00DE0F5F">
      <w:pPr>
        <w:pStyle w:val="DefaultParagraphFont"/>
        <w:widowControl w:val="0"/>
        <w:autoSpaceDE w:val="0"/>
        <w:autoSpaceDN w:val="0"/>
        <w:adjustRightInd w:val="0"/>
        <w:spacing w:after="0" w:line="370" w:lineRule="exact"/>
        <w:rPr>
          <w:rFonts w:ascii="Verdana" w:hAnsi="Verdana" w:cs="Verdana"/>
          <w:sz w:val="24"/>
          <w:szCs w:val="24"/>
        </w:rPr>
      </w:pPr>
    </w:p>
    <w:p w:rsidR="00000000" w:rsidRDefault="00DE0F5F">
      <w:pPr>
        <w:pStyle w:val="DefaultParagraphFont"/>
        <w:widowControl w:val="0"/>
        <w:numPr>
          <w:ilvl w:val="0"/>
          <w:numId w:val="4"/>
        </w:numPr>
        <w:tabs>
          <w:tab w:val="clear" w:pos="720"/>
          <w:tab w:val="num" w:pos="804"/>
        </w:tabs>
        <w:overflowPunct w:val="0"/>
        <w:autoSpaceDE w:val="0"/>
        <w:autoSpaceDN w:val="0"/>
        <w:adjustRightInd w:val="0"/>
        <w:spacing w:after="0" w:line="336" w:lineRule="auto"/>
        <w:ind w:hanging="720"/>
        <w:jc w:val="both"/>
        <w:rPr>
          <w:rFonts w:ascii="Verdana" w:hAnsi="Verdana" w:cs="Verdana"/>
          <w:sz w:val="24"/>
          <w:szCs w:val="24"/>
        </w:rPr>
      </w:pPr>
      <w:r>
        <w:rPr>
          <w:rFonts w:ascii="Verdana" w:hAnsi="Verdana" w:cs="Verdana"/>
          <w:sz w:val="24"/>
          <w:szCs w:val="24"/>
        </w:rPr>
        <w:t xml:space="preserve">For the purposes of clause (42) of section 2 of the Act, the phrase ‘electronic mode’ means carrying out, business electronically including, but not limited to:- </w:t>
      </w:r>
    </w:p>
    <w:p w:rsidR="00000000" w:rsidRDefault="00DE0F5F">
      <w:pPr>
        <w:pStyle w:val="DefaultParagraphFont"/>
        <w:widowControl w:val="0"/>
        <w:autoSpaceDE w:val="0"/>
        <w:autoSpaceDN w:val="0"/>
        <w:adjustRightInd w:val="0"/>
        <w:spacing w:after="0" w:line="88" w:lineRule="exact"/>
        <w:rPr>
          <w:rFonts w:ascii="Verdana" w:hAnsi="Verdana" w:cs="Verdana"/>
          <w:sz w:val="24"/>
          <w:szCs w:val="24"/>
        </w:rPr>
      </w:pPr>
    </w:p>
    <w:p w:rsidR="00000000" w:rsidRDefault="00DE0F5F">
      <w:pPr>
        <w:pStyle w:val="DefaultParagraphFont"/>
        <w:widowControl w:val="0"/>
        <w:numPr>
          <w:ilvl w:val="1"/>
          <w:numId w:val="4"/>
        </w:numPr>
        <w:tabs>
          <w:tab w:val="clear" w:pos="1440"/>
          <w:tab w:val="num" w:pos="1863"/>
        </w:tabs>
        <w:overflowPunct w:val="0"/>
        <w:autoSpaceDE w:val="0"/>
        <w:autoSpaceDN w:val="0"/>
        <w:adjustRightInd w:val="0"/>
        <w:spacing w:after="0" w:line="335" w:lineRule="auto"/>
        <w:ind w:firstLine="0"/>
        <w:jc w:val="both"/>
        <w:rPr>
          <w:rFonts w:ascii="Verdana" w:hAnsi="Verdana" w:cs="Verdana"/>
          <w:sz w:val="24"/>
          <w:szCs w:val="24"/>
        </w:rPr>
      </w:pPr>
      <w:r>
        <w:rPr>
          <w:rFonts w:ascii="Verdana" w:hAnsi="Verdana" w:cs="Verdana"/>
          <w:sz w:val="24"/>
          <w:szCs w:val="24"/>
        </w:rPr>
        <w:t xml:space="preserve">business to business and business to consumer transactions, data interchange and other digital supply transactions; </w:t>
      </w:r>
    </w:p>
    <w:p w:rsidR="00000000" w:rsidRDefault="00DE0F5F">
      <w:pPr>
        <w:pStyle w:val="DefaultParagraphFont"/>
        <w:widowControl w:val="0"/>
        <w:autoSpaceDE w:val="0"/>
        <w:autoSpaceDN w:val="0"/>
        <w:adjustRightInd w:val="0"/>
        <w:spacing w:after="0" w:line="91" w:lineRule="exact"/>
        <w:rPr>
          <w:rFonts w:ascii="Verdana" w:hAnsi="Verdana" w:cs="Verdana"/>
          <w:sz w:val="24"/>
          <w:szCs w:val="24"/>
        </w:rPr>
      </w:pPr>
    </w:p>
    <w:p w:rsidR="00000000" w:rsidRDefault="00DE0F5F">
      <w:pPr>
        <w:pStyle w:val="DefaultParagraphFont"/>
        <w:widowControl w:val="0"/>
        <w:numPr>
          <w:ilvl w:val="1"/>
          <w:numId w:val="4"/>
        </w:numPr>
        <w:tabs>
          <w:tab w:val="clear" w:pos="1440"/>
          <w:tab w:val="num" w:pos="1952"/>
        </w:tabs>
        <w:overflowPunct w:val="0"/>
        <w:autoSpaceDE w:val="0"/>
        <w:autoSpaceDN w:val="0"/>
        <w:adjustRightInd w:val="0"/>
        <w:spacing w:after="0" w:line="311" w:lineRule="auto"/>
        <w:ind w:firstLine="0"/>
        <w:jc w:val="both"/>
        <w:rPr>
          <w:rFonts w:ascii="Verdana" w:hAnsi="Verdana" w:cs="Verdana"/>
          <w:sz w:val="24"/>
          <w:szCs w:val="24"/>
        </w:rPr>
      </w:pPr>
      <w:r>
        <w:rPr>
          <w:rFonts w:ascii="Verdana" w:hAnsi="Verdana" w:cs="Verdana"/>
          <w:sz w:val="24"/>
          <w:szCs w:val="24"/>
        </w:rPr>
        <w:t xml:space="preserve">offering to accept deposits or subscriptions in India or from citizens of India; </w:t>
      </w:r>
    </w:p>
    <w:p w:rsidR="00000000" w:rsidRDefault="00DE0F5F">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DE0F5F">
      <w:pPr>
        <w:pStyle w:val="DefaultParagraphFont"/>
        <w:widowControl w:val="0"/>
        <w:numPr>
          <w:ilvl w:val="1"/>
          <w:numId w:val="4"/>
        </w:numPr>
        <w:tabs>
          <w:tab w:val="clear" w:pos="1440"/>
          <w:tab w:val="num" w:pos="2064"/>
        </w:tabs>
        <w:overflowPunct w:val="0"/>
        <w:autoSpaceDE w:val="0"/>
        <w:autoSpaceDN w:val="0"/>
        <w:adjustRightInd w:val="0"/>
        <w:spacing w:after="0" w:line="336" w:lineRule="auto"/>
        <w:ind w:firstLine="0"/>
        <w:jc w:val="both"/>
        <w:rPr>
          <w:rFonts w:ascii="Verdana" w:hAnsi="Verdana" w:cs="Verdana"/>
          <w:sz w:val="24"/>
          <w:szCs w:val="24"/>
        </w:rPr>
      </w:pPr>
      <w:r>
        <w:rPr>
          <w:rFonts w:ascii="Verdana" w:hAnsi="Verdana" w:cs="Verdana"/>
          <w:sz w:val="24"/>
          <w:szCs w:val="24"/>
        </w:rPr>
        <w:t>financial settlements, web based marketing</w:t>
      </w:r>
      <w:r>
        <w:rPr>
          <w:rFonts w:ascii="Verdana" w:hAnsi="Verdana" w:cs="Verdana"/>
          <w:sz w:val="24"/>
          <w:szCs w:val="24"/>
        </w:rPr>
        <w:t xml:space="preserve">, advisory and transactional services database services and products, supply chain management; </w:t>
      </w:r>
    </w:p>
    <w:p w:rsidR="00000000" w:rsidRDefault="00DE0F5F">
      <w:pPr>
        <w:pStyle w:val="DefaultParagraphFont"/>
        <w:widowControl w:val="0"/>
        <w:autoSpaceDE w:val="0"/>
        <w:autoSpaceDN w:val="0"/>
        <w:adjustRightInd w:val="0"/>
        <w:spacing w:after="0" w:line="88" w:lineRule="exact"/>
        <w:rPr>
          <w:rFonts w:ascii="Verdana" w:hAnsi="Verdana" w:cs="Verdana"/>
          <w:sz w:val="24"/>
          <w:szCs w:val="24"/>
        </w:rPr>
      </w:pPr>
    </w:p>
    <w:p w:rsidR="00000000" w:rsidRDefault="00DE0F5F">
      <w:pPr>
        <w:pStyle w:val="DefaultParagraphFont"/>
        <w:widowControl w:val="0"/>
        <w:numPr>
          <w:ilvl w:val="1"/>
          <w:numId w:val="4"/>
        </w:numPr>
        <w:tabs>
          <w:tab w:val="clear" w:pos="1440"/>
          <w:tab w:val="num" w:pos="2218"/>
        </w:tabs>
        <w:overflowPunct w:val="0"/>
        <w:autoSpaceDE w:val="0"/>
        <w:autoSpaceDN w:val="0"/>
        <w:adjustRightInd w:val="0"/>
        <w:spacing w:after="0" w:line="336" w:lineRule="auto"/>
        <w:ind w:firstLine="0"/>
        <w:jc w:val="both"/>
        <w:rPr>
          <w:rFonts w:ascii="Verdana" w:hAnsi="Verdana" w:cs="Verdana"/>
          <w:sz w:val="24"/>
          <w:szCs w:val="24"/>
        </w:rPr>
      </w:pPr>
      <w:r>
        <w:rPr>
          <w:rFonts w:ascii="Verdana" w:hAnsi="Verdana" w:cs="Verdana"/>
          <w:sz w:val="24"/>
          <w:szCs w:val="24"/>
        </w:rPr>
        <w:t xml:space="preserve">online services such as telemarketing, telecommuting, telemedicine, education and information research; and </w:t>
      </w:r>
    </w:p>
    <w:p w:rsidR="00000000" w:rsidRDefault="00DE0F5F">
      <w:pPr>
        <w:pStyle w:val="DefaultParagraphFont"/>
        <w:widowControl w:val="0"/>
        <w:autoSpaceDE w:val="0"/>
        <w:autoSpaceDN w:val="0"/>
        <w:adjustRightInd w:val="0"/>
        <w:spacing w:after="0" w:line="29" w:lineRule="exact"/>
        <w:rPr>
          <w:rFonts w:ascii="Verdana" w:hAnsi="Verdana" w:cs="Verdana"/>
          <w:sz w:val="24"/>
          <w:szCs w:val="24"/>
        </w:rPr>
      </w:pPr>
    </w:p>
    <w:p w:rsidR="00000000" w:rsidRDefault="00DE0F5F">
      <w:pPr>
        <w:pStyle w:val="DefaultParagraphFont"/>
        <w:widowControl w:val="0"/>
        <w:numPr>
          <w:ilvl w:val="1"/>
          <w:numId w:val="4"/>
        </w:numPr>
        <w:tabs>
          <w:tab w:val="clear" w:pos="1440"/>
          <w:tab w:val="num" w:pos="1880"/>
        </w:tabs>
        <w:overflowPunct w:val="0"/>
        <w:autoSpaceDE w:val="0"/>
        <w:autoSpaceDN w:val="0"/>
        <w:adjustRightInd w:val="0"/>
        <w:spacing w:after="0" w:line="240" w:lineRule="auto"/>
        <w:ind w:left="1880" w:hanging="440"/>
        <w:jc w:val="both"/>
        <w:rPr>
          <w:rFonts w:ascii="Verdana" w:hAnsi="Verdana" w:cs="Verdana"/>
          <w:sz w:val="24"/>
          <w:szCs w:val="24"/>
        </w:rPr>
      </w:pPr>
      <w:r>
        <w:rPr>
          <w:rFonts w:ascii="Verdana" w:hAnsi="Verdana" w:cs="Verdana"/>
          <w:sz w:val="24"/>
          <w:szCs w:val="24"/>
        </w:rPr>
        <w:t xml:space="preserve">all related data communication services, </w:t>
      </w: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50" w:lineRule="exact"/>
        <w:rPr>
          <w:rFonts w:ascii="Times New Roman" w:hAnsi="Times New Roman" w:cs="Times New Roman"/>
          <w:sz w:val="24"/>
          <w:szCs w:val="24"/>
        </w:rPr>
      </w:pPr>
    </w:p>
    <w:p w:rsidR="00000000" w:rsidRDefault="00DE0F5F">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w:t>
      </w:r>
    </w:p>
    <w:p w:rsidR="00000000" w:rsidRDefault="00DE0F5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91" w:right="1800" w:bottom="452" w:left="2520" w:header="720" w:footer="720" w:gutter="0"/>
          <w:cols w:space="720" w:equalWidth="0">
            <w:col w:w="7920"/>
          </w:cols>
          <w:noEndnote/>
        </w:sectPr>
      </w:pPr>
    </w:p>
    <w:p w:rsidR="00000000" w:rsidRDefault="00DE0F5F">
      <w:pPr>
        <w:pStyle w:val="DefaultParagraphFont"/>
        <w:widowControl w:val="0"/>
        <w:overflowPunct w:val="0"/>
        <w:autoSpaceDE w:val="0"/>
        <w:autoSpaceDN w:val="0"/>
        <w:adjustRightInd w:val="0"/>
        <w:spacing w:after="0" w:line="336" w:lineRule="auto"/>
        <w:ind w:left="1452"/>
        <w:jc w:val="both"/>
        <w:rPr>
          <w:rFonts w:ascii="Times New Roman" w:hAnsi="Times New Roman" w:cs="Times New Roman"/>
          <w:sz w:val="24"/>
          <w:szCs w:val="24"/>
        </w:rPr>
      </w:pPr>
      <w:bookmarkStart w:id="4" w:name="page4"/>
      <w:bookmarkEnd w:id="4"/>
      <w:r>
        <w:rPr>
          <w:rFonts w:ascii="Verdana" w:hAnsi="Verdana" w:cs="Verdana"/>
          <w:sz w:val="24"/>
          <w:szCs w:val="24"/>
        </w:rPr>
        <w:lastRenderedPageBreak/>
        <w:t>whether conducted by e-mail, mobile devices, social media, cloud computing, document management, voice or data transmission or otherwise.</w:t>
      </w:r>
    </w:p>
    <w:p w:rsidR="00000000" w:rsidRDefault="00DE0F5F">
      <w:pPr>
        <w:pStyle w:val="DefaultParagraphFont"/>
        <w:widowControl w:val="0"/>
        <w:autoSpaceDE w:val="0"/>
        <w:autoSpaceDN w:val="0"/>
        <w:adjustRightInd w:val="0"/>
        <w:spacing w:after="0" w:line="88" w:lineRule="exact"/>
        <w:rPr>
          <w:rFonts w:ascii="Times New Roman" w:hAnsi="Times New Roman" w:cs="Times New Roman"/>
          <w:sz w:val="24"/>
          <w:szCs w:val="24"/>
        </w:rPr>
      </w:pPr>
    </w:p>
    <w:p w:rsidR="00000000" w:rsidRDefault="00DE0F5F">
      <w:pPr>
        <w:pStyle w:val="DefaultParagraphFont"/>
        <w:widowControl w:val="0"/>
        <w:numPr>
          <w:ilvl w:val="1"/>
          <w:numId w:val="5"/>
        </w:numPr>
        <w:tabs>
          <w:tab w:val="clear" w:pos="1440"/>
          <w:tab w:val="num" w:pos="732"/>
        </w:tabs>
        <w:overflowPunct w:val="0"/>
        <w:autoSpaceDE w:val="0"/>
        <w:autoSpaceDN w:val="0"/>
        <w:adjustRightInd w:val="0"/>
        <w:spacing w:after="0" w:line="311" w:lineRule="auto"/>
        <w:ind w:left="732" w:hanging="720"/>
        <w:jc w:val="both"/>
        <w:rPr>
          <w:rFonts w:ascii="Verdana" w:hAnsi="Verdana" w:cs="Verdana"/>
          <w:sz w:val="24"/>
          <w:szCs w:val="24"/>
        </w:rPr>
      </w:pPr>
      <w:r>
        <w:rPr>
          <w:rFonts w:ascii="Verdana" w:hAnsi="Verdana" w:cs="Verdana"/>
          <w:sz w:val="24"/>
          <w:szCs w:val="24"/>
        </w:rPr>
        <w:t xml:space="preserve">Executive Director means a whole time director as defined in section 2(94) of the Act. </w:t>
      </w:r>
    </w:p>
    <w:p w:rsidR="00000000" w:rsidRDefault="00DE0F5F">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DE0F5F">
      <w:pPr>
        <w:pStyle w:val="DefaultParagraphFont"/>
        <w:widowControl w:val="0"/>
        <w:numPr>
          <w:ilvl w:val="1"/>
          <w:numId w:val="5"/>
        </w:numPr>
        <w:tabs>
          <w:tab w:val="clear" w:pos="1440"/>
          <w:tab w:val="num" w:pos="816"/>
        </w:tabs>
        <w:overflowPunct w:val="0"/>
        <w:autoSpaceDE w:val="0"/>
        <w:autoSpaceDN w:val="0"/>
        <w:adjustRightInd w:val="0"/>
        <w:spacing w:after="0" w:line="313" w:lineRule="auto"/>
        <w:ind w:left="732" w:hanging="720"/>
        <w:jc w:val="both"/>
        <w:rPr>
          <w:rFonts w:ascii="Verdana" w:hAnsi="Verdana" w:cs="Verdana"/>
          <w:sz w:val="24"/>
          <w:szCs w:val="24"/>
        </w:rPr>
      </w:pPr>
      <w:r>
        <w:rPr>
          <w:rFonts w:ascii="Verdana" w:hAnsi="Verdana" w:cs="Verdana"/>
          <w:sz w:val="24"/>
          <w:szCs w:val="24"/>
        </w:rPr>
        <w:t xml:space="preserve">‘Form’ means a form set forth in Annexure ‘A’ which shall be used for the matter to which it relates; </w:t>
      </w: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293" w:lineRule="exact"/>
        <w:rPr>
          <w:rFonts w:ascii="Verdana" w:hAnsi="Verdana" w:cs="Verdana"/>
          <w:sz w:val="24"/>
          <w:szCs w:val="24"/>
        </w:rPr>
      </w:pPr>
    </w:p>
    <w:p w:rsidR="00000000" w:rsidRDefault="00DE0F5F">
      <w:pPr>
        <w:pStyle w:val="DefaultParagraphFont"/>
        <w:widowControl w:val="0"/>
        <w:numPr>
          <w:ilvl w:val="0"/>
          <w:numId w:val="6"/>
        </w:numPr>
        <w:tabs>
          <w:tab w:val="clear" w:pos="720"/>
          <w:tab w:val="num" w:pos="732"/>
        </w:tabs>
        <w:overflowPunct w:val="0"/>
        <w:autoSpaceDE w:val="0"/>
        <w:autoSpaceDN w:val="0"/>
        <w:adjustRightInd w:val="0"/>
        <w:spacing w:after="0" w:line="240" w:lineRule="auto"/>
        <w:ind w:left="732" w:hanging="732"/>
        <w:jc w:val="both"/>
        <w:rPr>
          <w:rFonts w:ascii="Verdana" w:hAnsi="Verdana" w:cs="Verdana"/>
          <w:sz w:val="24"/>
          <w:szCs w:val="24"/>
        </w:rPr>
      </w:pPr>
      <w:r>
        <w:rPr>
          <w:rFonts w:ascii="Verdana" w:hAnsi="Verdana" w:cs="Verdana"/>
          <w:sz w:val="24"/>
          <w:szCs w:val="24"/>
        </w:rPr>
        <w:t>“OPC” means a One Person Company as defined in secti</w:t>
      </w:r>
      <w:r>
        <w:rPr>
          <w:rFonts w:ascii="Verdana" w:hAnsi="Verdana" w:cs="Verdana"/>
          <w:sz w:val="24"/>
          <w:szCs w:val="24"/>
        </w:rPr>
        <w:t xml:space="preserve">on </w:t>
      </w:r>
    </w:p>
    <w:p w:rsidR="00000000" w:rsidRDefault="00DE0F5F">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DE0F5F">
      <w:pPr>
        <w:pStyle w:val="DefaultParagraphFont"/>
        <w:widowControl w:val="0"/>
        <w:overflowPunct w:val="0"/>
        <w:autoSpaceDE w:val="0"/>
        <w:autoSpaceDN w:val="0"/>
        <w:adjustRightInd w:val="0"/>
        <w:spacing w:after="0" w:line="240" w:lineRule="auto"/>
        <w:ind w:left="1112"/>
        <w:jc w:val="both"/>
        <w:rPr>
          <w:rFonts w:ascii="Verdana" w:hAnsi="Verdana" w:cs="Verdana"/>
          <w:sz w:val="24"/>
          <w:szCs w:val="24"/>
        </w:rPr>
      </w:pPr>
      <w:r>
        <w:rPr>
          <w:rFonts w:ascii="Verdana" w:hAnsi="Verdana" w:cs="Verdana"/>
          <w:sz w:val="24"/>
          <w:szCs w:val="24"/>
        </w:rPr>
        <w:t xml:space="preserve">2(62) of the Act; </w:t>
      </w: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240" w:lineRule="exact"/>
        <w:rPr>
          <w:rFonts w:ascii="Verdana" w:hAnsi="Verdana" w:cs="Verdana"/>
          <w:sz w:val="24"/>
          <w:szCs w:val="24"/>
        </w:rPr>
      </w:pPr>
    </w:p>
    <w:p w:rsidR="00000000" w:rsidRDefault="00DE0F5F">
      <w:pPr>
        <w:pStyle w:val="DefaultParagraphFont"/>
        <w:widowControl w:val="0"/>
        <w:numPr>
          <w:ilvl w:val="0"/>
          <w:numId w:val="6"/>
        </w:numPr>
        <w:tabs>
          <w:tab w:val="clear" w:pos="720"/>
          <w:tab w:val="num" w:pos="1152"/>
        </w:tabs>
        <w:overflowPunct w:val="0"/>
        <w:autoSpaceDE w:val="0"/>
        <w:autoSpaceDN w:val="0"/>
        <w:adjustRightInd w:val="0"/>
        <w:spacing w:after="0" w:line="336" w:lineRule="auto"/>
        <w:ind w:left="732" w:hanging="720"/>
        <w:jc w:val="both"/>
        <w:rPr>
          <w:rFonts w:ascii="Verdana" w:hAnsi="Verdana" w:cs="Verdana"/>
          <w:sz w:val="24"/>
          <w:szCs w:val="24"/>
        </w:rPr>
      </w:pPr>
      <w:r>
        <w:rPr>
          <w:rFonts w:ascii="Verdana" w:hAnsi="Verdana" w:cs="Verdana"/>
          <w:sz w:val="24"/>
          <w:szCs w:val="24"/>
        </w:rPr>
        <w:t xml:space="preserve">“Pre-fill” means the automated process of data input by the computer system from the database maintained in electronic registry of the Central Government; </w:t>
      </w: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324" w:lineRule="exact"/>
        <w:rPr>
          <w:rFonts w:ascii="Verdana" w:hAnsi="Verdana" w:cs="Verdana"/>
          <w:sz w:val="24"/>
          <w:szCs w:val="24"/>
        </w:rPr>
      </w:pPr>
    </w:p>
    <w:p w:rsidR="00000000" w:rsidRDefault="00DE0F5F">
      <w:pPr>
        <w:pStyle w:val="DefaultParagraphFont"/>
        <w:widowControl w:val="0"/>
        <w:numPr>
          <w:ilvl w:val="0"/>
          <w:numId w:val="6"/>
        </w:numPr>
        <w:tabs>
          <w:tab w:val="clear" w:pos="720"/>
          <w:tab w:val="num" w:pos="732"/>
        </w:tabs>
        <w:overflowPunct w:val="0"/>
        <w:autoSpaceDE w:val="0"/>
        <w:autoSpaceDN w:val="0"/>
        <w:adjustRightInd w:val="0"/>
        <w:spacing w:after="0" w:line="344" w:lineRule="auto"/>
        <w:ind w:left="732" w:hanging="720"/>
        <w:jc w:val="both"/>
        <w:rPr>
          <w:rFonts w:ascii="Verdana" w:hAnsi="Verdana" w:cs="Verdana"/>
          <w:sz w:val="24"/>
          <w:szCs w:val="24"/>
        </w:rPr>
      </w:pPr>
      <w:r>
        <w:rPr>
          <w:rFonts w:ascii="Verdana" w:hAnsi="Verdana" w:cs="Verdana"/>
          <w:sz w:val="24"/>
          <w:szCs w:val="24"/>
        </w:rPr>
        <w:t>“Registrar’s Front Office”</w:t>
      </w:r>
      <w:r>
        <w:rPr>
          <w:rFonts w:ascii="Verdana" w:hAnsi="Verdana" w:cs="Verdana"/>
          <w:sz w:val="24"/>
          <w:szCs w:val="24"/>
        </w:rPr>
        <w:t xml:space="preserve"> means an office maintained by the Central Government or an agency authorized by it to facilitate e-filing of documents into the electronic registry and their inspection and viewing; </w:t>
      </w: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270" w:lineRule="exact"/>
        <w:rPr>
          <w:rFonts w:ascii="Verdana" w:hAnsi="Verdana" w:cs="Verdana"/>
          <w:sz w:val="24"/>
          <w:szCs w:val="24"/>
        </w:rPr>
      </w:pPr>
    </w:p>
    <w:p w:rsidR="00000000" w:rsidRDefault="00DE0F5F">
      <w:pPr>
        <w:pStyle w:val="DefaultParagraphFont"/>
        <w:widowControl w:val="0"/>
        <w:numPr>
          <w:ilvl w:val="0"/>
          <w:numId w:val="6"/>
        </w:numPr>
        <w:tabs>
          <w:tab w:val="clear" w:pos="720"/>
          <w:tab w:val="num" w:pos="732"/>
        </w:tabs>
        <w:overflowPunct w:val="0"/>
        <w:autoSpaceDE w:val="0"/>
        <w:autoSpaceDN w:val="0"/>
        <w:adjustRightInd w:val="0"/>
        <w:spacing w:after="0" w:line="240" w:lineRule="auto"/>
        <w:ind w:left="732" w:hanging="720"/>
        <w:jc w:val="both"/>
        <w:rPr>
          <w:rFonts w:ascii="Verdana" w:hAnsi="Verdana" w:cs="Verdana"/>
          <w:sz w:val="23"/>
          <w:szCs w:val="23"/>
        </w:rPr>
      </w:pPr>
      <w:r>
        <w:rPr>
          <w:rFonts w:ascii="Verdana" w:hAnsi="Verdana" w:cs="Verdana"/>
          <w:sz w:val="23"/>
          <w:szCs w:val="23"/>
        </w:rPr>
        <w:t xml:space="preserve">“Regional  Director”  means  the  person  appointed  by  the </w:t>
      </w:r>
    </w:p>
    <w:p w:rsidR="00000000" w:rsidRDefault="00DE0F5F">
      <w:pPr>
        <w:pStyle w:val="DefaultParagraphFont"/>
        <w:widowControl w:val="0"/>
        <w:autoSpaceDE w:val="0"/>
        <w:autoSpaceDN w:val="0"/>
        <w:adjustRightInd w:val="0"/>
        <w:spacing w:after="0" w:line="203" w:lineRule="exact"/>
        <w:rPr>
          <w:rFonts w:ascii="Verdana" w:hAnsi="Verdana" w:cs="Verdana"/>
          <w:sz w:val="23"/>
          <w:szCs w:val="23"/>
        </w:rPr>
      </w:pPr>
    </w:p>
    <w:p w:rsidR="00000000" w:rsidRDefault="00DE0F5F">
      <w:pPr>
        <w:pStyle w:val="DefaultParagraphFont"/>
        <w:widowControl w:val="0"/>
        <w:overflowPunct w:val="0"/>
        <w:autoSpaceDE w:val="0"/>
        <w:autoSpaceDN w:val="0"/>
        <w:adjustRightInd w:val="0"/>
        <w:spacing w:after="0" w:line="313" w:lineRule="auto"/>
        <w:ind w:left="732"/>
        <w:jc w:val="both"/>
        <w:rPr>
          <w:rFonts w:ascii="Verdana" w:hAnsi="Verdana" w:cs="Verdana"/>
          <w:sz w:val="23"/>
          <w:szCs w:val="23"/>
        </w:rPr>
      </w:pPr>
      <w:r>
        <w:rPr>
          <w:rFonts w:ascii="Verdana" w:hAnsi="Verdana" w:cs="Verdana"/>
          <w:sz w:val="24"/>
          <w:szCs w:val="24"/>
        </w:rPr>
        <w:t xml:space="preserve">Central Government in the Ministry of Corporate Affairs as a Regional Director; </w:t>
      </w:r>
    </w:p>
    <w:p w:rsidR="00000000" w:rsidRDefault="00DE0F5F">
      <w:pPr>
        <w:pStyle w:val="DefaultParagraphFont"/>
        <w:widowControl w:val="0"/>
        <w:autoSpaceDE w:val="0"/>
        <w:autoSpaceDN w:val="0"/>
        <w:adjustRightInd w:val="0"/>
        <w:spacing w:after="0" w:line="200" w:lineRule="exact"/>
        <w:rPr>
          <w:rFonts w:ascii="Verdana" w:hAnsi="Verdana" w:cs="Verdana"/>
          <w:sz w:val="23"/>
          <w:szCs w:val="23"/>
        </w:rPr>
      </w:pPr>
    </w:p>
    <w:p w:rsidR="00000000" w:rsidRDefault="00DE0F5F">
      <w:pPr>
        <w:pStyle w:val="DefaultParagraphFont"/>
        <w:widowControl w:val="0"/>
        <w:autoSpaceDE w:val="0"/>
        <w:autoSpaceDN w:val="0"/>
        <w:adjustRightInd w:val="0"/>
        <w:spacing w:after="0" w:line="293" w:lineRule="exact"/>
        <w:rPr>
          <w:rFonts w:ascii="Verdana" w:hAnsi="Verdana" w:cs="Verdana"/>
          <w:sz w:val="23"/>
          <w:szCs w:val="23"/>
        </w:rPr>
      </w:pPr>
    </w:p>
    <w:p w:rsidR="00000000" w:rsidRDefault="00DE0F5F">
      <w:pPr>
        <w:pStyle w:val="DefaultParagraphFont"/>
        <w:widowControl w:val="0"/>
        <w:numPr>
          <w:ilvl w:val="1"/>
          <w:numId w:val="6"/>
        </w:numPr>
        <w:tabs>
          <w:tab w:val="clear" w:pos="1440"/>
          <w:tab w:val="num" w:pos="732"/>
        </w:tabs>
        <w:overflowPunct w:val="0"/>
        <w:autoSpaceDE w:val="0"/>
        <w:autoSpaceDN w:val="0"/>
        <w:adjustRightInd w:val="0"/>
        <w:spacing w:after="0" w:line="240" w:lineRule="auto"/>
        <w:ind w:left="732" w:hanging="720"/>
        <w:jc w:val="both"/>
        <w:rPr>
          <w:rFonts w:ascii="Verdana" w:hAnsi="Verdana" w:cs="Verdana"/>
          <w:sz w:val="24"/>
          <w:szCs w:val="24"/>
        </w:rPr>
      </w:pPr>
      <w:r>
        <w:rPr>
          <w:rFonts w:ascii="Verdana" w:hAnsi="Verdana" w:cs="Verdana"/>
          <w:sz w:val="24"/>
          <w:szCs w:val="24"/>
        </w:rPr>
        <w:t xml:space="preserve">“section” means section of the Act; </w:t>
      </w: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243" w:lineRule="exact"/>
        <w:rPr>
          <w:rFonts w:ascii="Verdana" w:hAnsi="Verdana" w:cs="Verdana"/>
          <w:sz w:val="24"/>
          <w:szCs w:val="24"/>
        </w:rPr>
      </w:pPr>
    </w:p>
    <w:p w:rsidR="00000000" w:rsidRDefault="00DE0F5F">
      <w:pPr>
        <w:pStyle w:val="DefaultParagraphFont"/>
        <w:widowControl w:val="0"/>
        <w:numPr>
          <w:ilvl w:val="1"/>
          <w:numId w:val="6"/>
        </w:numPr>
        <w:tabs>
          <w:tab w:val="clear" w:pos="1440"/>
          <w:tab w:val="num" w:pos="732"/>
        </w:tabs>
        <w:overflowPunct w:val="0"/>
        <w:autoSpaceDE w:val="0"/>
        <w:autoSpaceDN w:val="0"/>
        <w:adjustRightInd w:val="0"/>
        <w:spacing w:after="0" w:line="311" w:lineRule="auto"/>
        <w:ind w:left="732" w:hanging="720"/>
        <w:jc w:val="both"/>
        <w:rPr>
          <w:rFonts w:ascii="Verdana" w:hAnsi="Verdana" w:cs="Verdana"/>
          <w:sz w:val="24"/>
          <w:szCs w:val="24"/>
        </w:rPr>
      </w:pPr>
      <w:r>
        <w:rPr>
          <w:rFonts w:ascii="Verdana" w:hAnsi="Verdana" w:cs="Verdana"/>
          <w:sz w:val="24"/>
          <w:szCs w:val="24"/>
        </w:rPr>
        <w:t xml:space="preserve">“Total Share Capital”, for the purposes of sub- sections (6) and (87) of section 2, means aggregate of the:- </w:t>
      </w:r>
    </w:p>
    <w:p w:rsidR="00000000" w:rsidRDefault="00DE0F5F">
      <w:pPr>
        <w:pStyle w:val="DefaultParagraphFont"/>
        <w:widowControl w:val="0"/>
        <w:autoSpaceDE w:val="0"/>
        <w:autoSpaceDN w:val="0"/>
        <w:adjustRightInd w:val="0"/>
        <w:spacing w:after="0" w:line="59" w:lineRule="exact"/>
        <w:rPr>
          <w:rFonts w:ascii="Verdana" w:hAnsi="Verdana" w:cs="Verdana"/>
          <w:sz w:val="24"/>
          <w:szCs w:val="24"/>
        </w:rPr>
      </w:pPr>
    </w:p>
    <w:p w:rsidR="00000000" w:rsidRDefault="00DE0F5F">
      <w:pPr>
        <w:pStyle w:val="DefaultParagraphFont"/>
        <w:widowControl w:val="0"/>
        <w:numPr>
          <w:ilvl w:val="2"/>
          <w:numId w:val="6"/>
        </w:numPr>
        <w:tabs>
          <w:tab w:val="clear" w:pos="2160"/>
          <w:tab w:val="num" w:pos="1352"/>
        </w:tabs>
        <w:overflowPunct w:val="0"/>
        <w:autoSpaceDE w:val="0"/>
        <w:autoSpaceDN w:val="0"/>
        <w:adjustRightInd w:val="0"/>
        <w:spacing w:after="0" w:line="239" w:lineRule="auto"/>
        <w:ind w:left="1352" w:hanging="440"/>
        <w:jc w:val="both"/>
        <w:rPr>
          <w:rFonts w:ascii="Verdana" w:hAnsi="Verdana" w:cs="Verdana"/>
          <w:sz w:val="24"/>
          <w:szCs w:val="24"/>
        </w:rPr>
      </w:pPr>
      <w:r>
        <w:rPr>
          <w:rFonts w:ascii="Verdana" w:hAnsi="Verdana" w:cs="Verdana"/>
          <w:sz w:val="24"/>
          <w:szCs w:val="24"/>
        </w:rPr>
        <w:t xml:space="preserve">paid-up equity share capital- </w:t>
      </w:r>
    </w:p>
    <w:p w:rsidR="00000000" w:rsidRDefault="00DE0F5F">
      <w:pPr>
        <w:pStyle w:val="DefaultParagraphFont"/>
        <w:widowControl w:val="0"/>
        <w:autoSpaceDE w:val="0"/>
        <w:autoSpaceDN w:val="0"/>
        <w:adjustRightInd w:val="0"/>
        <w:spacing w:after="0" w:line="149"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40" w:lineRule="auto"/>
        <w:ind w:left="1532"/>
        <w:rPr>
          <w:rFonts w:ascii="Times New Roman" w:hAnsi="Times New Roman" w:cs="Times New Roman"/>
          <w:sz w:val="24"/>
          <w:szCs w:val="24"/>
        </w:rPr>
      </w:pPr>
      <w:r>
        <w:rPr>
          <w:rFonts w:ascii="Verdana" w:hAnsi="Verdana" w:cs="Verdana"/>
          <w:sz w:val="24"/>
          <w:szCs w:val="24"/>
        </w:rPr>
        <w:t>and</w:t>
      </w:r>
    </w:p>
    <w:p w:rsidR="00000000" w:rsidRDefault="00DE0F5F">
      <w:pPr>
        <w:pStyle w:val="DefaultParagraphFont"/>
        <w:widowControl w:val="0"/>
        <w:autoSpaceDE w:val="0"/>
        <w:autoSpaceDN w:val="0"/>
        <w:adjustRightInd w:val="0"/>
        <w:spacing w:after="0" w:line="145"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40" w:lineRule="auto"/>
        <w:ind w:left="912"/>
        <w:rPr>
          <w:rFonts w:ascii="Times New Roman" w:hAnsi="Times New Roman" w:cs="Times New Roman"/>
          <w:sz w:val="24"/>
          <w:szCs w:val="24"/>
        </w:rPr>
      </w:pPr>
      <w:r>
        <w:rPr>
          <w:rFonts w:ascii="Verdana" w:hAnsi="Verdana" w:cs="Verdana"/>
          <w:sz w:val="24"/>
          <w:szCs w:val="24"/>
        </w:rPr>
        <w:t>(b) paid - up preference share capital;</w:t>
      </w:r>
    </w:p>
    <w:p w:rsidR="00000000" w:rsidRDefault="00DE0F5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954" w:right="1800" w:bottom="452" w:left="2508" w:header="720" w:footer="720" w:gutter="0"/>
          <w:cols w:space="720" w:equalWidth="0">
            <w:col w:w="7932"/>
          </w:cols>
          <w:noEndnote/>
        </w:sect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32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w:t>
      </w:r>
    </w:p>
    <w:p w:rsidR="00000000" w:rsidRDefault="00DE0F5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954" w:right="1800" w:bottom="452" w:left="10320" w:header="720" w:footer="720" w:gutter="0"/>
          <w:cols w:space="720" w:equalWidth="0">
            <w:col w:w="120"/>
          </w:cols>
          <w:noEndnote/>
        </w:sectPr>
      </w:pPr>
    </w:p>
    <w:p w:rsidR="00000000" w:rsidRDefault="00DE0F5F">
      <w:pPr>
        <w:pStyle w:val="DefaultParagraphFont"/>
        <w:widowControl w:val="0"/>
        <w:numPr>
          <w:ilvl w:val="1"/>
          <w:numId w:val="7"/>
        </w:numPr>
        <w:tabs>
          <w:tab w:val="clear" w:pos="1440"/>
          <w:tab w:val="num" w:pos="1104"/>
        </w:tabs>
        <w:overflowPunct w:val="0"/>
        <w:autoSpaceDE w:val="0"/>
        <w:autoSpaceDN w:val="0"/>
        <w:adjustRightInd w:val="0"/>
        <w:spacing w:after="0" w:line="335" w:lineRule="auto"/>
        <w:ind w:left="1140" w:hanging="465"/>
        <w:jc w:val="both"/>
        <w:rPr>
          <w:rFonts w:ascii="Verdana" w:hAnsi="Verdana" w:cs="Verdana"/>
          <w:sz w:val="24"/>
          <w:szCs w:val="24"/>
        </w:rPr>
      </w:pPr>
      <w:bookmarkStart w:id="5" w:name="page5"/>
      <w:bookmarkEnd w:id="5"/>
      <w:r>
        <w:rPr>
          <w:rFonts w:ascii="Verdana" w:hAnsi="Verdana" w:cs="Verdana"/>
          <w:sz w:val="24"/>
          <w:szCs w:val="24"/>
        </w:rPr>
        <w:lastRenderedPageBreak/>
        <w:t>For the purposes of Section 164(1)(d) and Section 167(1)(f) of the Act, “or otherwise”</w:t>
      </w:r>
      <w:r>
        <w:rPr>
          <w:rFonts w:ascii="Verdana" w:hAnsi="Verdana" w:cs="Verdana"/>
          <w:sz w:val="24"/>
          <w:szCs w:val="24"/>
        </w:rPr>
        <w:t xml:space="preserve"> means any other offence in respect of which he has been convicted by a Court under this Act. </w:t>
      </w: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328" w:lineRule="exact"/>
        <w:rPr>
          <w:rFonts w:ascii="Verdana" w:hAnsi="Verdana" w:cs="Verdana"/>
          <w:sz w:val="24"/>
          <w:szCs w:val="24"/>
        </w:rPr>
      </w:pPr>
    </w:p>
    <w:p w:rsidR="00000000" w:rsidRDefault="00DE0F5F">
      <w:pPr>
        <w:pStyle w:val="DefaultParagraphFont"/>
        <w:widowControl w:val="0"/>
        <w:numPr>
          <w:ilvl w:val="2"/>
          <w:numId w:val="7"/>
        </w:numPr>
        <w:tabs>
          <w:tab w:val="clear" w:pos="2160"/>
          <w:tab w:val="num" w:pos="1440"/>
        </w:tabs>
        <w:overflowPunct w:val="0"/>
        <w:autoSpaceDE w:val="0"/>
        <w:autoSpaceDN w:val="0"/>
        <w:adjustRightInd w:val="0"/>
        <w:spacing w:after="0" w:line="352" w:lineRule="auto"/>
        <w:ind w:left="1440" w:hanging="720"/>
        <w:jc w:val="both"/>
        <w:rPr>
          <w:rFonts w:ascii="Verdana" w:hAnsi="Verdana" w:cs="Verdana"/>
          <w:sz w:val="24"/>
          <w:szCs w:val="24"/>
        </w:rPr>
      </w:pPr>
      <w:r>
        <w:rPr>
          <w:rFonts w:ascii="Verdana" w:hAnsi="Verdana" w:cs="Verdana"/>
          <w:sz w:val="24"/>
          <w:szCs w:val="24"/>
        </w:rPr>
        <w:t>Words and expressions used in these rules but not defined shall have the meaning respectively assigned to them in the Act or the Securities Contracts (Reg</w:t>
      </w:r>
      <w:r>
        <w:rPr>
          <w:rFonts w:ascii="Verdana" w:hAnsi="Verdana" w:cs="Verdana"/>
          <w:sz w:val="24"/>
          <w:szCs w:val="24"/>
        </w:rPr>
        <w:t xml:space="preserve">ulation) Act, 1956 (42 of 1956) or the Securities and Exchange Board of India Act, 1992 (15 of 1992) or the Depositories Act, 1996 (22 of 1996) or the Information Technology Act, 2000 (21 of 2000) or rules and regulations made thereunder. </w:t>
      </w: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305" w:lineRule="exact"/>
        <w:rPr>
          <w:rFonts w:ascii="Verdana" w:hAnsi="Verdana" w:cs="Verdana"/>
          <w:sz w:val="24"/>
          <w:szCs w:val="24"/>
        </w:rPr>
      </w:pPr>
    </w:p>
    <w:p w:rsidR="00000000" w:rsidRDefault="00DE0F5F">
      <w:pPr>
        <w:pStyle w:val="DefaultParagraphFont"/>
        <w:widowControl w:val="0"/>
        <w:numPr>
          <w:ilvl w:val="2"/>
          <w:numId w:val="7"/>
        </w:numPr>
        <w:tabs>
          <w:tab w:val="clear" w:pos="2160"/>
          <w:tab w:val="num" w:pos="1440"/>
        </w:tabs>
        <w:overflowPunct w:val="0"/>
        <w:autoSpaceDE w:val="0"/>
        <w:autoSpaceDN w:val="0"/>
        <w:adjustRightInd w:val="0"/>
        <w:spacing w:after="0" w:line="347" w:lineRule="auto"/>
        <w:ind w:left="1440" w:hanging="720"/>
        <w:jc w:val="both"/>
        <w:rPr>
          <w:rFonts w:ascii="Verdana" w:hAnsi="Verdana" w:cs="Verdana"/>
          <w:sz w:val="24"/>
          <w:szCs w:val="24"/>
        </w:rPr>
      </w:pPr>
      <w:r>
        <w:rPr>
          <w:rFonts w:ascii="Verdana" w:hAnsi="Verdana" w:cs="Verdana"/>
          <w:sz w:val="24"/>
          <w:szCs w:val="24"/>
        </w:rPr>
        <w:t>Save as o</w:t>
      </w:r>
      <w:r>
        <w:rPr>
          <w:rFonts w:ascii="Verdana" w:hAnsi="Verdana" w:cs="Verdana"/>
          <w:sz w:val="24"/>
          <w:szCs w:val="24"/>
        </w:rPr>
        <w:t xml:space="preserve">therwise specifically provided, the words and expressions used but not defined under these rules but defined under National Company Law Tribunal Rules 2013, shall have the meanings respectively assigned to them in such Rules. </w:t>
      </w:r>
    </w:p>
    <w:p w:rsidR="00000000" w:rsidRDefault="00DE0F5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DE0F5F">
      <w:pPr>
        <w:pStyle w:val="DefaultParagraphFont"/>
        <w:widowControl w:val="0"/>
        <w:autoSpaceDE w:val="0"/>
        <w:autoSpaceDN w:val="0"/>
        <w:adjustRightInd w:val="0"/>
        <w:spacing w:after="0" w:line="317" w:lineRule="exact"/>
        <w:rPr>
          <w:rFonts w:ascii="Verdana" w:hAnsi="Verdana" w:cs="Verdana"/>
          <w:sz w:val="24"/>
          <w:szCs w:val="24"/>
        </w:rPr>
      </w:pPr>
    </w:p>
    <w:p w:rsidR="00000000" w:rsidRDefault="00DE0F5F">
      <w:pPr>
        <w:pStyle w:val="DefaultParagraphFont"/>
        <w:widowControl w:val="0"/>
        <w:numPr>
          <w:ilvl w:val="2"/>
          <w:numId w:val="7"/>
        </w:numPr>
        <w:tabs>
          <w:tab w:val="clear" w:pos="2160"/>
          <w:tab w:val="num" w:pos="1440"/>
        </w:tabs>
        <w:overflowPunct w:val="0"/>
        <w:autoSpaceDE w:val="0"/>
        <w:autoSpaceDN w:val="0"/>
        <w:adjustRightInd w:val="0"/>
        <w:spacing w:after="0" w:line="350" w:lineRule="auto"/>
        <w:ind w:left="1440" w:hanging="720"/>
        <w:jc w:val="both"/>
        <w:rPr>
          <w:rFonts w:ascii="Verdana" w:hAnsi="Verdana" w:cs="Verdana"/>
          <w:sz w:val="24"/>
          <w:szCs w:val="24"/>
        </w:rPr>
      </w:pPr>
      <w:r>
        <w:rPr>
          <w:rFonts w:ascii="Verdana" w:hAnsi="Verdana" w:cs="Verdana"/>
          <w:sz w:val="24"/>
          <w:szCs w:val="24"/>
        </w:rPr>
        <w:t>Save as otherwise specifically provided any requirement or procedure or applicable before NCLT under these Rules vis-a-vis under relevant provision of the Act and not provided under these rules, but provided under National Company Law Tribunal Rules 2013 S</w:t>
      </w:r>
      <w:r>
        <w:rPr>
          <w:rFonts w:ascii="Verdana" w:hAnsi="Verdana" w:cs="Verdana"/>
          <w:sz w:val="24"/>
          <w:szCs w:val="24"/>
        </w:rPr>
        <w:t xml:space="preserve">hall have the effect as if these are also provided for under these Rules. </w:t>
      </w:r>
    </w:p>
    <w:p w:rsidR="00000000" w:rsidRDefault="00DE0F5F">
      <w:pPr>
        <w:pStyle w:val="DefaultParagraphFont"/>
        <w:widowControl w:val="0"/>
        <w:autoSpaceDE w:val="0"/>
        <w:autoSpaceDN w:val="0"/>
        <w:adjustRightInd w:val="0"/>
        <w:spacing w:after="0" w:line="364" w:lineRule="exact"/>
        <w:rPr>
          <w:rFonts w:ascii="Verdana" w:hAnsi="Verdana" w:cs="Verdana"/>
          <w:sz w:val="24"/>
          <w:szCs w:val="24"/>
        </w:rPr>
      </w:pPr>
    </w:p>
    <w:p w:rsidR="00000000" w:rsidRDefault="00DE0F5F">
      <w:pPr>
        <w:pStyle w:val="DefaultParagraphFont"/>
        <w:widowControl w:val="0"/>
        <w:numPr>
          <w:ilvl w:val="2"/>
          <w:numId w:val="7"/>
        </w:numPr>
        <w:tabs>
          <w:tab w:val="clear" w:pos="2160"/>
          <w:tab w:val="num" w:pos="1440"/>
        </w:tabs>
        <w:overflowPunct w:val="0"/>
        <w:autoSpaceDE w:val="0"/>
        <w:autoSpaceDN w:val="0"/>
        <w:adjustRightInd w:val="0"/>
        <w:spacing w:after="0" w:line="313" w:lineRule="auto"/>
        <w:ind w:left="1440" w:hanging="720"/>
        <w:jc w:val="both"/>
        <w:rPr>
          <w:rFonts w:ascii="Verdana" w:hAnsi="Verdana" w:cs="Verdana"/>
          <w:sz w:val="24"/>
          <w:szCs w:val="24"/>
        </w:rPr>
      </w:pPr>
      <w:r>
        <w:rPr>
          <w:rFonts w:ascii="Verdana" w:hAnsi="Verdana" w:cs="Verdana"/>
          <w:sz w:val="24"/>
          <w:szCs w:val="24"/>
        </w:rPr>
        <w:t xml:space="preserve">Notwithstanding amendment of these rules from time to time, these rules shall be reviewed once in three years. </w:t>
      </w:r>
    </w:p>
    <w:p w:rsidR="00000000" w:rsidRDefault="00DE0F5F">
      <w:pPr>
        <w:pStyle w:val="DefaultParagraphFont"/>
        <w:widowControl w:val="0"/>
        <w:autoSpaceDE w:val="0"/>
        <w:autoSpaceDN w:val="0"/>
        <w:adjustRightInd w:val="0"/>
        <w:spacing w:after="0" w:line="347" w:lineRule="exact"/>
        <w:rPr>
          <w:rFonts w:ascii="Verdana" w:hAnsi="Verdana" w:cs="Verdana"/>
          <w:sz w:val="24"/>
          <w:szCs w:val="24"/>
        </w:rPr>
      </w:pPr>
    </w:p>
    <w:p w:rsidR="00000000" w:rsidRDefault="00DE0F5F">
      <w:pPr>
        <w:pStyle w:val="DefaultParagraphFont"/>
        <w:widowControl w:val="0"/>
        <w:overflowPunct w:val="0"/>
        <w:autoSpaceDE w:val="0"/>
        <w:autoSpaceDN w:val="0"/>
        <w:adjustRightInd w:val="0"/>
        <w:spacing w:after="0" w:line="239" w:lineRule="auto"/>
        <w:ind w:left="1440"/>
        <w:jc w:val="both"/>
        <w:rPr>
          <w:rFonts w:ascii="Verdana" w:hAnsi="Verdana" w:cs="Verdana"/>
          <w:sz w:val="24"/>
          <w:szCs w:val="24"/>
        </w:rPr>
      </w:pPr>
      <w:r>
        <w:rPr>
          <w:rFonts w:ascii="Verdana" w:hAnsi="Verdana" w:cs="Verdana"/>
          <w:b/>
          <w:bCs/>
          <w:sz w:val="24"/>
          <w:szCs w:val="24"/>
        </w:rPr>
        <w:t xml:space="preserve">Related party </w:t>
      </w:r>
    </w:p>
    <w:p w:rsidR="00000000" w:rsidRDefault="00DE0F5F">
      <w:pPr>
        <w:pStyle w:val="DefaultParagraphFont"/>
        <w:widowControl w:val="0"/>
        <w:autoSpaceDE w:val="0"/>
        <w:autoSpaceDN w:val="0"/>
        <w:adjustRightInd w:val="0"/>
        <w:spacing w:after="0" w:line="207" w:lineRule="exact"/>
        <w:rPr>
          <w:rFonts w:ascii="Verdana" w:hAnsi="Verdana" w:cs="Verdana"/>
          <w:sz w:val="24"/>
          <w:szCs w:val="24"/>
        </w:rPr>
      </w:pPr>
    </w:p>
    <w:p w:rsidR="00000000" w:rsidRDefault="00DE0F5F">
      <w:pPr>
        <w:pStyle w:val="DefaultParagraphFont"/>
        <w:widowControl w:val="0"/>
        <w:numPr>
          <w:ilvl w:val="0"/>
          <w:numId w:val="8"/>
        </w:numPr>
        <w:tabs>
          <w:tab w:val="clear" w:pos="720"/>
          <w:tab w:val="num" w:pos="781"/>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For the purposes of clause (ix) of sub-</w:t>
      </w:r>
      <w:r>
        <w:rPr>
          <w:rFonts w:ascii="Verdana" w:hAnsi="Verdana" w:cs="Verdana"/>
          <w:sz w:val="24"/>
          <w:szCs w:val="24"/>
        </w:rPr>
        <w:t xml:space="preserve">section (76) of section 2, the following persons, with reference to a company, shall be deemed </w:t>
      </w:r>
    </w:p>
    <w:p w:rsidR="00000000" w:rsidRDefault="00DE0F5F">
      <w:pPr>
        <w:pStyle w:val="DefaultParagraphFont"/>
        <w:widowControl w:val="0"/>
        <w:autoSpaceDE w:val="0"/>
        <w:autoSpaceDN w:val="0"/>
        <w:adjustRightInd w:val="0"/>
        <w:spacing w:after="0" w:line="59"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to be a related party-</w:t>
      </w:r>
    </w:p>
    <w:p w:rsidR="00000000" w:rsidRDefault="00DE0F5F">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40" w:lineRule="auto"/>
        <w:ind w:left="8520"/>
        <w:rPr>
          <w:rFonts w:ascii="Times New Roman" w:hAnsi="Times New Roman" w:cs="Times New Roman"/>
          <w:sz w:val="24"/>
          <w:szCs w:val="24"/>
        </w:rPr>
      </w:pPr>
      <w:r>
        <w:rPr>
          <w:rFonts w:ascii="Times New Roman" w:hAnsi="Times New Roman" w:cs="Times New Roman"/>
          <w:sz w:val="24"/>
          <w:szCs w:val="24"/>
        </w:rPr>
        <w:t>5</w:t>
      </w:r>
    </w:p>
    <w:p w:rsidR="00000000" w:rsidRDefault="00DE0F5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247" w:right="1800" w:bottom="452" w:left="1800" w:header="720" w:footer="720" w:gutter="0"/>
          <w:cols w:space="720" w:equalWidth="0">
            <w:col w:w="8640"/>
          </w:cols>
          <w:noEndnote/>
        </w:sectPr>
      </w:pPr>
    </w:p>
    <w:p w:rsidR="00000000" w:rsidRDefault="00DE0F5F">
      <w:pPr>
        <w:pStyle w:val="DefaultParagraphFont"/>
        <w:widowControl w:val="0"/>
        <w:numPr>
          <w:ilvl w:val="0"/>
          <w:numId w:val="9"/>
        </w:numPr>
        <w:tabs>
          <w:tab w:val="clear" w:pos="720"/>
          <w:tab w:val="num" w:pos="1620"/>
        </w:tabs>
        <w:overflowPunct w:val="0"/>
        <w:autoSpaceDE w:val="0"/>
        <w:autoSpaceDN w:val="0"/>
        <w:adjustRightInd w:val="0"/>
        <w:spacing w:after="0" w:line="336" w:lineRule="auto"/>
        <w:ind w:left="1620" w:hanging="540"/>
        <w:jc w:val="both"/>
        <w:rPr>
          <w:rFonts w:ascii="Verdana" w:hAnsi="Verdana" w:cs="Verdana"/>
          <w:sz w:val="24"/>
          <w:szCs w:val="24"/>
        </w:rPr>
      </w:pPr>
      <w:bookmarkStart w:id="6" w:name="page6"/>
      <w:bookmarkEnd w:id="6"/>
      <w:r>
        <w:rPr>
          <w:rFonts w:ascii="Verdana" w:hAnsi="Verdana" w:cs="Verdana"/>
          <w:sz w:val="24"/>
          <w:szCs w:val="24"/>
        </w:rPr>
        <w:lastRenderedPageBreak/>
        <w:t>a director or key managerial personn</w:t>
      </w:r>
      <w:r>
        <w:rPr>
          <w:rFonts w:ascii="Verdana" w:hAnsi="Verdana" w:cs="Verdana"/>
          <w:sz w:val="24"/>
          <w:szCs w:val="24"/>
        </w:rPr>
        <w:t xml:space="preserve">el of the holding, subsidiary or associate company of such company or his relative; </w:t>
      </w:r>
    </w:p>
    <w:p w:rsidR="00000000" w:rsidRDefault="00DE0F5F">
      <w:pPr>
        <w:pStyle w:val="DefaultParagraphFont"/>
        <w:widowControl w:val="0"/>
        <w:autoSpaceDE w:val="0"/>
        <w:autoSpaceDN w:val="0"/>
        <w:adjustRightInd w:val="0"/>
        <w:spacing w:after="0" w:line="88" w:lineRule="exact"/>
        <w:rPr>
          <w:rFonts w:ascii="Verdana" w:hAnsi="Verdana" w:cs="Verdana"/>
          <w:sz w:val="24"/>
          <w:szCs w:val="24"/>
        </w:rPr>
      </w:pPr>
    </w:p>
    <w:p w:rsidR="00000000" w:rsidRDefault="00DE0F5F">
      <w:pPr>
        <w:pStyle w:val="DefaultParagraphFont"/>
        <w:widowControl w:val="0"/>
        <w:numPr>
          <w:ilvl w:val="0"/>
          <w:numId w:val="9"/>
        </w:numPr>
        <w:tabs>
          <w:tab w:val="clear" w:pos="720"/>
          <w:tab w:val="num" w:pos="1620"/>
        </w:tabs>
        <w:overflowPunct w:val="0"/>
        <w:autoSpaceDE w:val="0"/>
        <w:autoSpaceDN w:val="0"/>
        <w:adjustRightInd w:val="0"/>
        <w:spacing w:after="0" w:line="230" w:lineRule="auto"/>
        <w:ind w:left="1620" w:hanging="540"/>
        <w:jc w:val="both"/>
        <w:rPr>
          <w:rFonts w:ascii="Verdana" w:hAnsi="Verdana" w:cs="Verdana"/>
          <w:sz w:val="24"/>
          <w:szCs w:val="24"/>
        </w:rPr>
      </w:pPr>
      <w:r>
        <w:rPr>
          <w:rFonts w:ascii="Verdana" w:hAnsi="Verdana" w:cs="Verdana"/>
          <w:sz w:val="24"/>
          <w:szCs w:val="24"/>
        </w:rPr>
        <w:t xml:space="preserve">any person appointed in senior management in the company or its holding, subsidiary or associate company i.e. personnel of the company or its holding, subsidiary or </w:t>
      </w:r>
      <w:r>
        <w:rPr>
          <w:rFonts w:ascii="Verdana" w:hAnsi="Verdana" w:cs="Verdana"/>
          <w:sz w:val="24"/>
          <w:szCs w:val="24"/>
        </w:rPr>
        <w:t xml:space="preserve">associate company who are members of core management team excluding Board of directors </w:t>
      </w:r>
    </w:p>
    <w:p w:rsidR="00000000" w:rsidRDefault="00DE0F5F">
      <w:pPr>
        <w:pStyle w:val="DefaultParagraphFont"/>
        <w:widowControl w:val="0"/>
        <w:autoSpaceDE w:val="0"/>
        <w:autoSpaceDN w:val="0"/>
        <w:adjustRightInd w:val="0"/>
        <w:spacing w:after="0" w:line="62" w:lineRule="exact"/>
        <w:rPr>
          <w:rFonts w:ascii="Times New Roman" w:hAnsi="Times New Roman" w:cs="Times New Roman"/>
          <w:sz w:val="24"/>
          <w:szCs w:val="24"/>
        </w:rPr>
      </w:pPr>
    </w:p>
    <w:p w:rsidR="00000000" w:rsidRDefault="00DE0F5F">
      <w:pPr>
        <w:pStyle w:val="DefaultParagraphFont"/>
        <w:widowControl w:val="0"/>
        <w:overflowPunct w:val="0"/>
        <w:autoSpaceDE w:val="0"/>
        <w:autoSpaceDN w:val="0"/>
        <w:adjustRightInd w:val="0"/>
        <w:spacing w:after="0" w:line="215" w:lineRule="auto"/>
        <w:ind w:left="1620"/>
        <w:rPr>
          <w:rFonts w:ascii="Times New Roman" w:hAnsi="Times New Roman" w:cs="Times New Roman"/>
          <w:sz w:val="24"/>
          <w:szCs w:val="24"/>
        </w:rPr>
      </w:pPr>
      <w:r>
        <w:rPr>
          <w:rFonts w:ascii="Verdana" w:hAnsi="Verdana" w:cs="Verdana"/>
          <w:sz w:val="24"/>
          <w:szCs w:val="24"/>
        </w:rPr>
        <w:t>comprising all members of management one level below the executive directors, including the functional heads.</w:t>
      </w:r>
    </w:p>
    <w:p w:rsidR="00000000" w:rsidRDefault="00DE0F5F">
      <w:pPr>
        <w:pStyle w:val="DefaultParagraphFont"/>
        <w:widowControl w:val="0"/>
        <w:autoSpaceDE w:val="0"/>
        <w:autoSpaceDN w:val="0"/>
        <w:adjustRightInd w:val="0"/>
        <w:spacing w:after="0" w:line="2"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List of relatives</w:t>
      </w:r>
    </w:p>
    <w:p w:rsidR="00000000" w:rsidRDefault="00DE0F5F">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DE0F5F">
      <w:pPr>
        <w:pStyle w:val="DefaultParagraphFont"/>
        <w:widowControl w:val="0"/>
        <w:overflowPunct w:val="0"/>
        <w:autoSpaceDE w:val="0"/>
        <w:autoSpaceDN w:val="0"/>
        <w:adjustRightInd w:val="0"/>
        <w:spacing w:after="0" w:line="224" w:lineRule="auto"/>
        <w:ind w:left="900" w:hanging="816"/>
        <w:jc w:val="both"/>
        <w:rPr>
          <w:rFonts w:ascii="Times New Roman" w:hAnsi="Times New Roman" w:cs="Times New Roman"/>
          <w:sz w:val="24"/>
          <w:szCs w:val="24"/>
        </w:rPr>
      </w:pPr>
      <w:r>
        <w:rPr>
          <w:rFonts w:ascii="Verdana" w:hAnsi="Verdana" w:cs="Verdana"/>
          <w:sz w:val="24"/>
          <w:szCs w:val="24"/>
        </w:rPr>
        <w:t>1.4. For the purposes of sub-clause (iii) of sub-section (77) of section 2, a person shall be deemed to be the relative of another, if he or she is related to another in the following manner:</w:t>
      </w:r>
    </w:p>
    <w:p w:rsidR="00000000" w:rsidRDefault="00DE0F5F">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000000" w:rsidRDefault="00DE0F5F">
      <w:pPr>
        <w:pStyle w:val="DefaultParagraphFont"/>
        <w:widowControl w:val="0"/>
        <w:numPr>
          <w:ilvl w:val="0"/>
          <w:numId w:val="10"/>
        </w:numPr>
        <w:tabs>
          <w:tab w:val="clear" w:pos="720"/>
          <w:tab w:val="num" w:pos="1620"/>
        </w:tabs>
        <w:overflowPunct w:val="0"/>
        <w:autoSpaceDE w:val="0"/>
        <w:autoSpaceDN w:val="0"/>
        <w:adjustRightInd w:val="0"/>
        <w:spacing w:after="0" w:line="240" w:lineRule="auto"/>
        <w:ind w:left="1620" w:hanging="720"/>
        <w:jc w:val="both"/>
        <w:rPr>
          <w:rFonts w:ascii="Verdana" w:hAnsi="Verdana" w:cs="Verdana"/>
          <w:sz w:val="24"/>
          <w:szCs w:val="24"/>
        </w:rPr>
      </w:pPr>
      <w:r>
        <w:rPr>
          <w:rFonts w:ascii="Verdana" w:hAnsi="Verdana" w:cs="Verdana"/>
          <w:sz w:val="24"/>
          <w:szCs w:val="24"/>
        </w:rPr>
        <w:t xml:space="preserve">Spouse </w:t>
      </w:r>
    </w:p>
    <w:p w:rsidR="00000000" w:rsidRDefault="00DE0F5F">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DE0F5F">
      <w:pPr>
        <w:pStyle w:val="DefaultParagraphFont"/>
        <w:widowControl w:val="0"/>
        <w:numPr>
          <w:ilvl w:val="0"/>
          <w:numId w:val="10"/>
        </w:numPr>
        <w:tabs>
          <w:tab w:val="clear" w:pos="720"/>
          <w:tab w:val="num" w:pos="1620"/>
        </w:tabs>
        <w:overflowPunct w:val="0"/>
        <w:autoSpaceDE w:val="0"/>
        <w:autoSpaceDN w:val="0"/>
        <w:adjustRightInd w:val="0"/>
        <w:spacing w:after="0" w:line="240" w:lineRule="auto"/>
        <w:ind w:left="1620" w:hanging="720"/>
        <w:jc w:val="both"/>
        <w:rPr>
          <w:rFonts w:ascii="Verdana" w:hAnsi="Verdana" w:cs="Verdana"/>
          <w:sz w:val="24"/>
          <w:szCs w:val="24"/>
        </w:rPr>
      </w:pPr>
      <w:r>
        <w:rPr>
          <w:rFonts w:ascii="Verdana" w:hAnsi="Verdana" w:cs="Verdana"/>
          <w:sz w:val="24"/>
          <w:szCs w:val="24"/>
        </w:rPr>
        <w:t xml:space="preserve">Father (including step-father) </w:t>
      </w:r>
    </w:p>
    <w:p w:rsidR="00000000" w:rsidRDefault="00DE0F5F">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DE0F5F">
      <w:pPr>
        <w:pStyle w:val="DefaultParagraphFont"/>
        <w:widowControl w:val="0"/>
        <w:numPr>
          <w:ilvl w:val="0"/>
          <w:numId w:val="10"/>
        </w:numPr>
        <w:tabs>
          <w:tab w:val="clear" w:pos="720"/>
          <w:tab w:val="num" w:pos="1620"/>
        </w:tabs>
        <w:overflowPunct w:val="0"/>
        <w:autoSpaceDE w:val="0"/>
        <w:autoSpaceDN w:val="0"/>
        <w:adjustRightInd w:val="0"/>
        <w:spacing w:after="0" w:line="240" w:lineRule="auto"/>
        <w:ind w:left="1620" w:hanging="720"/>
        <w:jc w:val="both"/>
        <w:rPr>
          <w:rFonts w:ascii="Verdana" w:hAnsi="Verdana" w:cs="Verdana"/>
          <w:sz w:val="24"/>
          <w:szCs w:val="24"/>
        </w:rPr>
      </w:pPr>
      <w:r>
        <w:rPr>
          <w:rFonts w:ascii="Verdana" w:hAnsi="Verdana" w:cs="Verdana"/>
          <w:sz w:val="24"/>
          <w:szCs w:val="24"/>
        </w:rPr>
        <w:t>Father</w:t>
      </w:r>
      <w:r>
        <w:rPr>
          <w:rFonts w:ascii="Verdana" w:hAnsi="Verdana" w:cs="Verdana"/>
          <w:sz w:val="24"/>
          <w:szCs w:val="24"/>
        </w:rPr>
        <w:t xml:space="preserve">’s father </w:t>
      </w:r>
    </w:p>
    <w:p w:rsidR="00000000" w:rsidRDefault="00DE0F5F">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DE0F5F">
      <w:pPr>
        <w:pStyle w:val="DefaultParagraphFont"/>
        <w:widowControl w:val="0"/>
        <w:numPr>
          <w:ilvl w:val="0"/>
          <w:numId w:val="10"/>
        </w:numPr>
        <w:tabs>
          <w:tab w:val="clear" w:pos="720"/>
          <w:tab w:val="num" w:pos="1620"/>
        </w:tabs>
        <w:overflowPunct w:val="0"/>
        <w:autoSpaceDE w:val="0"/>
        <w:autoSpaceDN w:val="0"/>
        <w:adjustRightInd w:val="0"/>
        <w:spacing w:after="0" w:line="240" w:lineRule="auto"/>
        <w:ind w:left="1620" w:hanging="720"/>
        <w:jc w:val="both"/>
        <w:rPr>
          <w:rFonts w:ascii="Verdana" w:hAnsi="Verdana" w:cs="Verdana"/>
          <w:sz w:val="24"/>
          <w:szCs w:val="24"/>
        </w:rPr>
      </w:pPr>
      <w:r>
        <w:rPr>
          <w:rFonts w:ascii="Verdana" w:hAnsi="Verdana" w:cs="Verdana"/>
          <w:sz w:val="24"/>
          <w:szCs w:val="24"/>
        </w:rPr>
        <w:t xml:space="preserve">Father’s mother </w:t>
      </w:r>
    </w:p>
    <w:p w:rsidR="00000000" w:rsidRDefault="00DE0F5F">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DE0F5F">
      <w:pPr>
        <w:pStyle w:val="DefaultParagraphFont"/>
        <w:widowControl w:val="0"/>
        <w:numPr>
          <w:ilvl w:val="0"/>
          <w:numId w:val="10"/>
        </w:numPr>
        <w:tabs>
          <w:tab w:val="clear" w:pos="720"/>
          <w:tab w:val="num" w:pos="1620"/>
        </w:tabs>
        <w:overflowPunct w:val="0"/>
        <w:autoSpaceDE w:val="0"/>
        <w:autoSpaceDN w:val="0"/>
        <w:adjustRightInd w:val="0"/>
        <w:spacing w:after="0" w:line="240" w:lineRule="auto"/>
        <w:ind w:left="1620" w:hanging="720"/>
        <w:jc w:val="both"/>
        <w:rPr>
          <w:rFonts w:ascii="Verdana" w:hAnsi="Verdana" w:cs="Verdana"/>
          <w:sz w:val="24"/>
          <w:szCs w:val="24"/>
        </w:rPr>
      </w:pPr>
      <w:r>
        <w:rPr>
          <w:rFonts w:ascii="Verdana" w:hAnsi="Verdana" w:cs="Verdana"/>
          <w:sz w:val="24"/>
          <w:szCs w:val="24"/>
        </w:rPr>
        <w:t xml:space="preserve">Mother ( including step-mother) </w:t>
      </w:r>
    </w:p>
    <w:p w:rsidR="00000000" w:rsidRDefault="00DE0F5F">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DE0F5F">
      <w:pPr>
        <w:pStyle w:val="DefaultParagraphFont"/>
        <w:widowControl w:val="0"/>
        <w:numPr>
          <w:ilvl w:val="0"/>
          <w:numId w:val="10"/>
        </w:numPr>
        <w:tabs>
          <w:tab w:val="clear" w:pos="720"/>
          <w:tab w:val="num" w:pos="1620"/>
        </w:tabs>
        <w:overflowPunct w:val="0"/>
        <w:autoSpaceDE w:val="0"/>
        <w:autoSpaceDN w:val="0"/>
        <w:adjustRightInd w:val="0"/>
        <w:spacing w:after="0" w:line="240" w:lineRule="auto"/>
        <w:ind w:left="1620" w:hanging="720"/>
        <w:jc w:val="both"/>
        <w:rPr>
          <w:rFonts w:ascii="Verdana" w:hAnsi="Verdana" w:cs="Verdana"/>
          <w:sz w:val="24"/>
          <w:szCs w:val="24"/>
        </w:rPr>
      </w:pPr>
      <w:r>
        <w:rPr>
          <w:rFonts w:ascii="Verdana" w:hAnsi="Verdana" w:cs="Verdana"/>
          <w:sz w:val="24"/>
          <w:szCs w:val="24"/>
        </w:rPr>
        <w:t xml:space="preserve">Mother’s mother </w:t>
      </w:r>
    </w:p>
    <w:p w:rsidR="00000000" w:rsidRDefault="00DE0F5F">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DE0F5F">
      <w:pPr>
        <w:pStyle w:val="DefaultParagraphFont"/>
        <w:widowControl w:val="0"/>
        <w:numPr>
          <w:ilvl w:val="0"/>
          <w:numId w:val="10"/>
        </w:numPr>
        <w:tabs>
          <w:tab w:val="clear" w:pos="720"/>
          <w:tab w:val="num" w:pos="1620"/>
        </w:tabs>
        <w:overflowPunct w:val="0"/>
        <w:autoSpaceDE w:val="0"/>
        <w:autoSpaceDN w:val="0"/>
        <w:adjustRightInd w:val="0"/>
        <w:spacing w:after="0" w:line="240" w:lineRule="auto"/>
        <w:ind w:left="1620" w:hanging="720"/>
        <w:jc w:val="both"/>
        <w:rPr>
          <w:rFonts w:ascii="Verdana" w:hAnsi="Verdana" w:cs="Verdana"/>
          <w:sz w:val="24"/>
          <w:szCs w:val="24"/>
        </w:rPr>
      </w:pPr>
      <w:r>
        <w:rPr>
          <w:rFonts w:ascii="Verdana" w:hAnsi="Verdana" w:cs="Verdana"/>
          <w:sz w:val="24"/>
          <w:szCs w:val="24"/>
        </w:rPr>
        <w:t xml:space="preserve">Mother’s father </w:t>
      </w:r>
    </w:p>
    <w:p w:rsidR="00000000" w:rsidRDefault="00DE0F5F">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DE0F5F">
      <w:pPr>
        <w:pStyle w:val="DefaultParagraphFont"/>
        <w:widowControl w:val="0"/>
        <w:numPr>
          <w:ilvl w:val="0"/>
          <w:numId w:val="10"/>
        </w:numPr>
        <w:tabs>
          <w:tab w:val="clear" w:pos="720"/>
          <w:tab w:val="num" w:pos="1620"/>
        </w:tabs>
        <w:overflowPunct w:val="0"/>
        <w:autoSpaceDE w:val="0"/>
        <w:autoSpaceDN w:val="0"/>
        <w:adjustRightInd w:val="0"/>
        <w:spacing w:after="0" w:line="240" w:lineRule="auto"/>
        <w:ind w:left="1620" w:hanging="720"/>
        <w:jc w:val="both"/>
        <w:rPr>
          <w:rFonts w:ascii="Verdana" w:hAnsi="Verdana" w:cs="Verdana"/>
          <w:sz w:val="24"/>
          <w:szCs w:val="24"/>
        </w:rPr>
      </w:pPr>
      <w:r>
        <w:rPr>
          <w:rFonts w:ascii="Verdana" w:hAnsi="Verdana" w:cs="Verdana"/>
          <w:sz w:val="24"/>
          <w:szCs w:val="24"/>
        </w:rPr>
        <w:t xml:space="preserve">Son ( including step-son) </w:t>
      </w:r>
    </w:p>
    <w:p w:rsidR="00000000" w:rsidRDefault="00DE0F5F">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DE0F5F">
      <w:pPr>
        <w:pStyle w:val="DefaultParagraphFont"/>
        <w:widowControl w:val="0"/>
        <w:numPr>
          <w:ilvl w:val="0"/>
          <w:numId w:val="10"/>
        </w:numPr>
        <w:tabs>
          <w:tab w:val="clear" w:pos="720"/>
          <w:tab w:val="num" w:pos="1620"/>
        </w:tabs>
        <w:overflowPunct w:val="0"/>
        <w:autoSpaceDE w:val="0"/>
        <w:autoSpaceDN w:val="0"/>
        <w:adjustRightInd w:val="0"/>
        <w:spacing w:after="0" w:line="240" w:lineRule="auto"/>
        <w:ind w:left="1620" w:hanging="720"/>
        <w:jc w:val="both"/>
        <w:rPr>
          <w:rFonts w:ascii="Verdana" w:hAnsi="Verdana" w:cs="Verdana"/>
          <w:sz w:val="24"/>
          <w:szCs w:val="24"/>
        </w:rPr>
      </w:pPr>
      <w:r>
        <w:rPr>
          <w:rFonts w:ascii="Verdana" w:hAnsi="Verdana" w:cs="Verdana"/>
          <w:sz w:val="24"/>
          <w:szCs w:val="24"/>
        </w:rPr>
        <w:t xml:space="preserve">Son’s wife </w:t>
      </w:r>
    </w:p>
    <w:p w:rsidR="00000000" w:rsidRDefault="00DE0F5F">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DE0F5F">
      <w:pPr>
        <w:pStyle w:val="DefaultParagraphFont"/>
        <w:widowControl w:val="0"/>
        <w:numPr>
          <w:ilvl w:val="0"/>
          <w:numId w:val="10"/>
        </w:numPr>
        <w:tabs>
          <w:tab w:val="clear" w:pos="720"/>
          <w:tab w:val="num" w:pos="1620"/>
        </w:tabs>
        <w:overflowPunct w:val="0"/>
        <w:autoSpaceDE w:val="0"/>
        <w:autoSpaceDN w:val="0"/>
        <w:adjustRightInd w:val="0"/>
        <w:spacing w:after="0" w:line="240" w:lineRule="auto"/>
        <w:ind w:left="1620" w:hanging="720"/>
        <w:jc w:val="both"/>
        <w:rPr>
          <w:rFonts w:ascii="Verdana" w:hAnsi="Verdana" w:cs="Verdana"/>
          <w:sz w:val="24"/>
          <w:szCs w:val="24"/>
        </w:rPr>
      </w:pPr>
      <w:r>
        <w:rPr>
          <w:rFonts w:ascii="Verdana" w:hAnsi="Verdana" w:cs="Verdana"/>
          <w:sz w:val="24"/>
          <w:szCs w:val="24"/>
        </w:rPr>
        <w:t xml:space="preserve">Son’s son </w:t>
      </w:r>
    </w:p>
    <w:p w:rsidR="00000000" w:rsidRDefault="00DE0F5F">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DE0F5F">
      <w:pPr>
        <w:pStyle w:val="DefaultParagraphFont"/>
        <w:widowControl w:val="0"/>
        <w:numPr>
          <w:ilvl w:val="0"/>
          <w:numId w:val="10"/>
        </w:numPr>
        <w:tabs>
          <w:tab w:val="clear" w:pos="720"/>
          <w:tab w:val="num" w:pos="1620"/>
        </w:tabs>
        <w:overflowPunct w:val="0"/>
        <w:autoSpaceDE w:val="0"/>
        <w:autoSpaceDN w:val="0"/>
        <w:adjustRightInd w:val="0"/>
        <w:spacing w:after="0" w:line="240" w:lineRule="auto"/>
        <w:ind w:left="1620" w:hanging="720"/>
        <w:jc w:val="both"/>
        <w:rPr>
          <w:rFonts w:ascii="Verdana" w:hAnsi="Verdana" w:cs="Verdana"/>
          <w:sz w:val="24"/>
          <w:szCs w:val="24"/>
        </w:rPr>
      </w:pPr>
      <w:r>
        <w:rPr>
          <w:rFonts w:ascii="Verdana" w:hAnsi="Verdana" w:cs="Verdana"/>
          <w:sz w:val="24"/>
          <w:szCs w:val="24"/>
        </w:rPr>
        <w:t xml:space="preserve">Son’s daughter </w:t>
      </w:r>
    </w:p>
    <w:p w:rsidR="00000000" w:rsidRDefault="00DE0F5F">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DE0F5F">
      <w:pPr>
        <w:pStyle w:val="DefaultParagraphFont"/>
        <w:widowControl w:val="0"/>
        <w:numPr>
          <w:ilvl w:val="0"/>
          <w:numId w:val="10"/>
        </w:numPr>
        <w:tabs>
          <w:tab w:val="clear" w:pos="720"/>
          <w:tab w:val="num" w:pos="1620"/>
        </w:tabs>
        <w:overflowPunct w:val="0"/>
        <w:autoSpaceDE w:val="0"/>
        <w:autoSpaceDN w:val="0"/>
        <w:adjustRightInd w:val="0"/>
        <w:spacing w:after="0" w:line="240" w:lineRule="auto"/>
        <w:ind w:left="1620" w:hanging="720"/>
        <w:jc w:val="both"/>
        <w:rPr>
          <w:rFonts w:ascii="Verdana" w:hAnsi="Verdana" w:cs="Verdana"/>
          <w:sz w:val="24"/>
          <w:szCs w:val="24"/>
        </w:rPr>
      </w:pPr>
      <w:r>
        <w:rPr>
          <w:rFonts w:ascii="Verdana" w:hAnsi="Verdana" w:cs="Verdana"/>
          <w:sz w:val="24"/>
          <w:szCs w:val="24"/>
        </w:rPr>
        <w:t xml:space="preserve">Daughter (including step-daughter) </w:t>
      </w:r>
    </w:p>
    <w:p w:rsidR="00000000" w:rsidRDefault="00DE0F5F">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DE0F5F">
      <w:pPr>
        <w:pStyle w:val="DefaultParagraphFont"/>
        <w:widowControl w:val="0"/>
        <w:numPr>
          <w:ilvl w:val="0"/>
          <w:numId w:val="10"/>
        </w:numPr>
        <w:tabs>
          <w:tab w:val="clear" w:pos="720"/>
          <w:tab w:val="num" w:pos="1620"/>
        </w:tabs>
        <w:overflowPunct w:val="0"/>
        <w:autoSpaceDE w:val="0"/>
        <w:autoSpaceDN w:val="0"/>
        <w:adjustRightInd w:val="0"/>
        <w:spacing w:after="0" w:line="240" w:lineRule="auto"/>
        <w:ind w:left="1620" w:hanging="720"/>
        <w:jc w:val="both"/>
        <w:rPr>
          <w:rFonts w:ascii="Verdana" w:hAnsi="Verdana" w:cs="Verdana"/>
          <w:sz w:val="24"/>
          <w:szCs w:val="24"/>
        </w:rPr>
      </w:pPr>
      <w:r>
        <w:rPr>
          <w:rFonts w:ascii="Verdana" w:hAnsi="Verdana" w:cs="Verdana"/>
          <w:sz w:val="24"/>
          <w:szCs w:val="24"/>
        </w:rPr>
        <w:t xml:space="preserve">Daughter’s husband </w:t>
      </w:r>
    </w:p>
    <w:p w:rsidR="00000000" w:rsidRDefault="00DE0F5F">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DE0F5F">
      <w:pPr>
        <w:pStyle w:val="DefaultParagraphFont"/>
        <w:widowControl w:val="0"/>
        <w:numPr>
          <w:ilvl w:val="0"/>
          <w:numId w:val="10"/>
        </w:numPr>
        <w:tabs>
          <w:tab w:val="clear" w:pos="720"/>
          <w:tab w:val="num" w:pos="1620"/>
        </w:tabs>
        <w:overflowPunct w:val="0"/>
        <w:autoSpaceDE w:val="0"/>
        <w:autoSpaceDN w:val="0"/>
        <w:adjustRightInd w:val="0"/>
        <w:spacing w:after="0" w:line="240" w:lineRule="auto"/>
        <w:ind w:left="1620" w:hanging="720"/>
        <w:jc w:val="both"/>
        <w:rPr>
          <w:rFonts w:ascii="Verdana" w:hAnsi="Verdana" w:cs="Verdana"/>
          <w:sz w:val="24"/>
          <w:szCs w:val="24"/>
        </w:rPr>
      </w:pPr>
      <w:r>
        <w:rPr>
          <w:rFonts w:ascii="Verdana" w:hAnsi="Verdana" w:cs="Verdana"/>
          <w:sz w:val="24"/>
          <w:szCs w:val="24"/>
        </w:rPr>
        <w:t xml:space="preserve">Brother ( including step-brother) </w:t>
      </w:r>
    </w:p>
    <w:p w:rsidR="00000000" w:rsidRDefault="00DE0F5F">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DE0F5F">
      <w:pPr>
        <w:pStyle w:val="DefaultParagraphFont"/>
        <w:widowControl w:val="0"/>
        <w:numPr>
          <w:ilvl w:val="0"/>
          <w:numId w:val="10"/>
        </w:numPr>
        <w:tabs>
          <w:tab w:val="clear" w:pos="720"/>
          <w:tab w:val="num" w:pos="1620"/>
        </w:tabs>
        <w:overflowPunct w:val="0"/>
        <w:autoSpaceDE w:val="0"/>
        <w:autoSpaceDN w:val="0"/>
        <w:adjustRightInd w:val="0"/>
        <w:spacing w:after="0" w:line="240" w:lineRule="auto"/>
        <w:ind w:left="1620" w:hanging="720"/>
        <w:jc w:val="both"/>
        <w:rPr>
          <w:rFonts w:ascii="Verdana" w:hAnsi="Verdana" w:cs="Verdana"/>
          <w:sz w:val="24"/>
          <w:szCs w:val="24"/>
        </w:rPr>
      </w:pPr>
      <w:r>
        <w:rPr>
          <w:rFonts w:ascii="Verdana" w:hAnsi="Verdana" w:cs="Verdana"/>
          <w:sz w:val="24"/>
          <w:szCs w:val="24"/>
        </w:rPr>
        <w:t xml:space="preserve">Sister (including step-sister) </w:t>
      </w:r>
    </w:p>
    <w:p w:rsidR="00000000" w:rsidRDefault="00DE0F5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954" w:right="1800" w:bottom="452" w:left="1800" w:header="720" w:footer="720" w:gutter="0"/>
          <w:cols w:space="720" w:equalWidth="0">
            <w:col w:w="8640"/>
          </w:cols>
          <w:noEndnote/>
        </w:sect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35pt;margin-top:30.35pt;width:434.95pt;height:3pt;z-index:-251658240;mso-position-horizontal-relative:text;mso-position-vertical-relative:text" o:allowincell="f">
            <v:imagedata r:id="rId5" o:title=""/>
          </v:shape>
        </w:pict>
      </w: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54" w:lineRule="exact"/>
        <w:rPr>
          <w:rFonts w:ascii="Times New Roman" w:hAnsi="Times New Roman" w:cs="Times New Roman"/>
          <w:sz w:val="24"/>
          <w:szCs w:val="24"/>
        </w:rPr>
      </w:pPr>
    </w:p>
    <w:p w:rsidR="00000000" w:rsidRDefault="00DE0F5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w:t>
      </w:r>
    </w:p>
    <w:sectPr w:rsidR="00000000">
      <w:type w:val="continuous"/>
      <w:pgSz w:w="12240" w:h="15840"/>
      <w:pgMar w:top="954" w:right="1800" w:bottom="452" w:left="10320" w:header="720" w:footer="720" w:gutter="0"/>
      <w:cols w:space="720" w:equalWidth="0">
        <w:col w:w="12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1."/>
      <w:lvlJc w:val="left"/>
      <w:pPr>
        <w:tabs>
          <w:tab w:val="num" w:pos="720"/>
        </w:tabs>
        <w:ind w:left="720" w:hanging="360"/>
      </w:pPr>
    </w:lvl>
    <w:lvl w:ilvl="1" w:tplc="00006784">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EB"/>
    <w:multiLevelType w:val="hybridMultilevel"/>
    <w:tmpl w:val="00000BB3"/>
    <w:lvl w:ilvl="0" w:tplc="00002EA6">
      <w:start w:val="1"/>
      <w:numFmt w:val="lowerLetter"/>
      <w:lvlText w:val="%1"/>
      <w:lvlJc w:val="left"/>
      <w:pPr>
        <w:tabs>
          <w:tab w:val="num" w:pos="720"/>
        </w:tabs>
        <w:ind w:left="720" w:hanging="360"/>
      </w:pPr>
    </w:lvl>
    <w:lvl w:ilvl="1" w:tplc="000012DB">
      <w:start w:val="12"/>
      <w:numFmt w:val="lowerLetter"/>
      <w:lvlText w:val="(%2)"/>
      <w:lvlJc w:val="left"/>
      <w:pPr>
        <w:tabs>
          <w:tab w:val="num" w:pos="1440"/>
        </w:tabs>
        <w:ind w:left="1440" w:hanging="360"/>
      </w:pPr>
    </w:lvl>
    <w:lvl w:ilvl="2" w:tplc="0000153C">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47"/>
    <w:multiLevelType w:val="hybridMultilevel"/>
    <w:tmpl w:val="000054DE"/>
    <w:lvl w:ilvl="0" w:tplc="000039B3">
      <w:start w:val="3"/>
      <w:numFmt w:val="decimal"/>
      <w:lvlText w:val="1.%1."/>
      <w:lvlJc w:val="left"/>
      <w:pPr>
        <w:tabs>
          <w:tab w:val="num" w:pos="720"/>
        </w:tabs>
        <w:ind w:left="720" w:hanging="360"/>
      </w:pPr>
    </w:lvl>
    <w:lvl w:ilvl="1" w:tplc="00002D12">
      <w:start w:val="1"/>
      <w:numFmt w:val="lowerLetter"/>
      <w:lvlText w:val="%2"/>
      <w:lvlJc w:val="left"/>
      <w:pPr>
        <w:tabs>
          <w:tab w:val="num" w:pos="1440"/>
        </w:tabs>
        <w:ind w:left="1440" w:hanging="360"/>
      </w:pPr>
    </w:lvl>
    <w:lvl w:ilvl="2" w:tplc="0000074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305E"/>
    <w:multiLevelType w:val="hybridMultilevel"/>
    <w:tmpl w:val="0000440D"/>
    <w:lvl w:ilvl="0" w:tplc="0000491C">
      <w:start w:val="1"/>
      <w:numFmt w:val="decimal"/>
      <w:lvlText w:val="%1"/>
      <w:lvlJc w:val="left"/>
      <w:pPr>
        <w:tabs>
          <w:tab w:val="num" w:pos="720"/>
        </w:tabs>
        <w:ind w:left="720" w:hanging="360"/>
      </w:pPr>
    </w:lvl>
    <w:lvl w:ilvl="1" w:tplc="00004D06">
      <w:start w:val="20"/>
      <w:numFmt w:val="lowerLetter"/>
      <w:lvlText w:val="(%2)"/>
      <w:lvlJc w:val="left"/>
      <w:pPr>
        <w:tabs>
          <w:tab w:val="num" w:pos="1440"/>
        </w:tabs>
        <w:ind w:left="1440" w:hanging="360"/>
      </w:pPr>
    </w:lvl>
    <w:lvl w:ilvl="2" w:tplc="00004DB7">
      <w:start w:val="2"/>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428B"/>
    <w:multiLevelType w:val="hybridMultilevel"/>
    <w:tmpl w:val="000026A6"/>
    <w:lvl w:ilvl="0" w:tplc="0000701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AE1"/>
    <w:multiLevelType w:val="hybridMultilevel"/>
    <w:tmpl w:val="00003D6C"/>
    <w:lvl w:ilvl="0" w:tplc="00002CD6">
      <w:start w:val="2"/>
      <w:numFmt w:val="decimal"/>
      <w:lvlText w:val="1.%1."/>
      <w:lvlJc w:val="left"/>
      <w:pPr>
        <w:tabs>
          <w:tab w:val="num" w:pos="720"/>
        </w:tabs>
        <w:ind w:left="720" w:hanging="360"/>
      </w:pPr>
    </w:lvl>
    <w:lvl w:ilvl="1" w:tplc="000072A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DC8"/>
    <w:multiLevelType w:val="hybridMultilevel"/>
    <w:tmpl w:val="00006443"/>
    <w:lvl w:ilvl="0" w:tplc="000066B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6952"/>
    <w:multiLevelType w:val="hybridMultilevel"/>
    <w:tmpl w:val="00005F90"/>
    <w:lvl w:ilvl="0" w:tplc="00001649">
      <w:start w:val="5"/>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6DF1"/>
    <w:multiLevelType w:val="hybridMultilevel"/>
    <w:tmpl w:val="00005AF1"/>
    <w:lvl w:ilvl="0" w:tplc="000041BB">
      <w:start w:val="8"/>
      <w:numFmt w:val="lowerLetter"/>
      <w:lvlText w:val="(%1)"/>
      <w:lvlJc w:val="left"/>
      <w:pPr>
        <w:tabs>
          <w:tab w:val="num" w:pos="720"/>
        </w:tabs>
        <w:ind w:left="720" w:hanging="360"/>
      </w:pPr>
    </w:lvl>
    <w:lvl w:ilvl="1" w:tplc="000026E9">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7E87"/>
    <w:multiLevelType w:val="hybridMultilevel"/>
    <w:tmpl w:val="0000390C"/>
    <w:lvl w:ilvl="0" w:tplc="00000F3E">
      <w:start w:val="14"/>
      <w:numFmt w:val="lowerLetter"/>
      <w:lvlText w:val="(%1)"/>
      <w:lvlJc w:val="left"/>
      <w:pPr>
        <w:tabs>
          <w:tab w:val="num" w:pos="720"/>
        </w:tabs>
        <w:ind w:left="720" w:hanging="360"/>
      </w:pPr>
    </w:lvl>
    <w:lvl w:ilvl="1" w:tplc="00000099">
      <w:start w:val="18"/>
      <w:numFmt w:val="lowerLetter"/>
      <w:lvlText w:val="(%2)"/>
      <w:lvlJc w:val="left"/>
      <w:pPr>
        <w:tabs>
          <w:tab w:val="num" w:pos="1440"/>
        </w:tabs>
        <w:ind w:left="1440" w:hanging="360"/>
      </w:pPr>
    </w:lvl>
    <w:lvl w:ilvl="2" w:tplc="00000124">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5"/>
  </w:num>
  <w:num w:numId="3">
    <w:abstractNumId w:val="7"/>
  </w:num>
  <w:num w:numId="4">
    <w:abstractNumId w:val="8"/>
  </w:num>
  <w:num w:numId="5">
    <w:abstractNumId w:val="1"/>
  </w:num>
  <w:num w:numId="6">
    <w:abstractNumId w:val="9"/>
  </w:num>
  <w:num w:numId="7">
    <w:abstractNumId w:val="3"/>
  </w:num>
  <w:num w:numId="8">
    <w:abstractNumId w:val="2"/>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0F5F"/>
    <w:rsid w:val="00DE0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1082</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2013-09-10T05:56:00Z</dcterms:created>
  <dcterms:modified xsi:type="dcterms:W3CDTF">2013-09-10T05:56:00Z</dcterms:modified>
</cp:coreProperties>
</file>